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D4E" w:rsidRDefault="00470D4E" w:rsidP="00470D4E">
      <w:pPr>
        <w:pStyle w:val="ListParagraph"/>
        <w:spacing w:line="200" w:lineRule="atLeast"/>
        <w:ind w:left="0"/>
        <w:contextualSpacing/>
        <w:jc w:val="both"/>
        <w:rPr>
          <w:b/>
          <w:bCs/>
          <w:color w:val="0000FF"/>
          <w:sz w:val="23"/>
          <w:szCs w:val="23"/>
        </w:rPr>
      </w:pPr>
      <w:r>
        <w:rPr>
          <w:b/>
          <w:bCs/>
          <w:color w:val="0000FF"/>
          <w:sz w:val="23"/>
          <w:szCs w:val="23"/>
        </w:rPr>
        <w:t>SUPPLEMENTAL DATA</w:t>
      </w:r>
    </w:p>
    <w:p w:rsidR="00470D4E" w:rsidRDefault="00470D4E" w:rsidP="00470D4E">
      <w:pPr>
        <w:pStyle w:val="ListParagraph"/>
        <w:spacing w:line="200" w:lineRule="atLeast"/>
        <w:ind w:left="0"/>
        <w:contextualSpacing/>
        <w:jc w:val="both"/>
        <w:rPr>
          <w:b/>
          <w:bCs/>
          <w:color w:val="0000FF"/>
          <w:sz w:val="23"/>
          <w:szCs w:val="23"/>
        </w:rPr>
      </w:pPr>
    </w:p>
    <w:p w:rsidR="00470D4E" w:rsidRPr="0083028D" w:rsidRDefault="00470D4E" w:rsidP="00470D4E">
      <w:pPr>
        <w:pStyle w:val="ListParagraph"/>
        <w:spacing w:line="200" w:lineRule="atLeast"/>
        <w:ind w:left="0"/>
        <w:contextualSpacing/>
        <w:jc w:val="both"/>
        <w:rPr>
          <w:rFonts w:ascii="Calibri" w:hAnsi="Calibri"/>
          <w:sz w:val="18"/>
          <w:szCs w:val="18"/>
        </w:rPr>
      </w:pPr>
      <w:r>
        <w:rPr>
          <w:b/>
          <w:bCs/>
          <w:color w:val="0000FF"/>
          <w:sz w:val="23"/>
          <w:szCs w:val="23"/>
        </w:rPr>
        <w:t>METHODS</w:t>
      </w:r>
    </w:p>
    <w:p w:rsidR="00470D4E" w:rsidRDefault="00470D4E" w:rsidP="00470D4E">
      <w:pPr>
        <w:spacing w:line="200" w:lineRule="atLeast"/>
        <w:jc w:val="both"/>
        <w:rPr>
          <w:rFonts w:ascii="Calibri" w:hAnsi="Calibri"/>
          <w:sz w:val="18"/>
          <w:szCs w:val="18"/>
        </w:rPr>
      </w:pPr>
    </w:p>
    <w:p w:rsidR="00470D4E" w:rsidRPr="00FA69FB" w:rsidRDefault="00470D4E" w:rsidP="00470D4E">
      <w:pPr>
        <w:spacing w:line="200" w:lineRule="atLeast"/>
        <w:jc w:val="both"/>
        <w:rPr>
          <w:color w:val="000000"/>
          <w:sz w:val="21"/>
          <w:shd w:val="clear" w:color="auto" w:fill="FFFFFF"/>
        </w:rPr>
      </w:pPr>
      <w:proofErr w:type="gramStart"/>
      <w:r w:rsidRPr="00975AD6">
        <w:rPr>
          <w:sz w:val="21"/>
          <w:u w:val="single"/>
        </w:rPr>
        <w:t xml:space="preserve">Infarct analysis and laser Doppler </w:t>
      </w:r>
      <w:proofErr w:type="spellStart"/>
      <w:r w:rsidRPr="00975AD6">
        <w:rPr>
          <w:sz w:val="21"/>
          <w:u w:val="single"/>
        </w:rPr>
        <w:t>flowmetry</w:t>
      </w:r>
      <w:proofErr w:type="spellEnd"/>
      <w:r w:rsidRPr="00975AD6">
        <w:rPr>
          <w:sz w:val="21"/>
          <w:u w:val="single"/>
        </w:rPr>
        <w:t>.</w:t>
      </w:r>
      <w:proofErr w:type="gramEnd"/>
      <w:r>
        <w:rPr>
          <w:b/>
          <w:sz w:val="21"/>
        </w:rPr>
        <w:t xml:space="preserve"> </w:t>
      </w:r>
      <w:r w:rsidRPr="00FA69FB">
        <w:rPr>
          <w:sz w:val="21"/>
        </w:rPr>
        <w:t xml:space="preserve">A separate cohort of young and aged mice underwent 60 minute MCAO surgery following the protocol outlined in the primary manuscript. During MCAO surgery, cerebral blood flow to the ischemic hemisphere was measured with laser Doppler </w:t>
      </w:r>
      <w:proofErr w:type="spellStart"/>
      <w:r w:rsidRPr="00FA69FB">
        <w:rPr>
          <w:sz w:val="21"/>
        </w:rPr>
        <w:t>flowmetry</w:t>
      </w:r>
      <w:proofErr w:type="spellEnd"/>
      <w:r w:rsidRPr="00FA69FB">
        <w:rPr>
          <w:sz w:val="21"/>
        </w:rPr>
        <w:t xml:space="preserve"> (Moor Instruments) as described previously</w:t>
      </w:r>
      <w:r>
        <w:rPr>
          <w:sz w:val="21"/>
        </w:rPr>
        <w:t xml:space="preserve"> [1]</w:t>
      </w:r>
      <w:r w:rsidRPr="00FA69FB">
        <w:rPr>
          <w:sz w:val="21"/>
        </w:rPr>
        <w:t xml:space="preserve">. At 7 days of reperfusion, mice were euthanized and </w:t>
      </w:r>
      <w:proofErr w:type="spellStart"/>
      <w:r w:rsidRPr="00FA69FB">
        <w:rPr>
          <w:sz w:val="21"/>
        </w:rPr>
        <w:t>transcardially</w:t>
      </w:r>
      <w:proofErr w:type="spellEnd"/>
      <w:r w:rsidRPr="00FA69FB">
        <w:rPr>
          <w:sz w:val="21"/>
        </w:rPr>
        <w:t xml:space="preserve"> </w:t>
      </w:r>
      <w:proofErr w:type="spellStart"/>
      <w:r w:rsidRPr="00FA69FB">
        <w:rPr>
          <w:sz w:val="21"/>
        </w:rPr>
        <w:t>perfused</w:t>
      </w:r>
      <w:proofErr w:type="spellEnd"/>
      <w:r w:rsidRPr="00FA69FB">
        <w:rPr>
          <w:sz w:val="21"/>
        </w:rPr>
        <w:t xml:space="preserve"> with PBS followed by 4% </w:t>
      </w:r>
      <w:proofErr w:type="spellStart"/>
      <w:r w:rsidRPr="00FA69FB">
        <w:rPr>
          <w:sz w:val="21"/>
        </w:rPr>
        <w:t>paraformaldehyde</w:t>
      </w:r>
      <w:proofErr w:type="spellEnd"/>
      <w:r w:rsidRPr="00FA69FB">
        <w:rPr>
          <w:sz w:val="21"/>
        </w:rPr>
        <w:t xml:space="preserve">. Brains were extracted, post-fixed for 24 hours and placed in 30% sucrose for </w:t>
      </w:r>
      <w:proofErr w:type="spellStart"/>
      <w:r w:rsidRPr="00FA69FB">
        <w:rPr>
          <w:sz w:val="21"/>
        </w:rPr>
        <w:t>cryoprotection</w:t>
      </w:r>
      <w:proofErr w:type="spellEnd"/>
      <w:r w:rsidRPr="00FA69FB">
        <w:rPr>
          <w:sz w:val="21"/>
        </w:rPr>
        <w:t>. Using a freezing microtome, brains were cut into 30-</w:t>
      </w:r>
      <w:r w:rsidRPr="00FA69FB">
        <w:rPr>
          <w:i/>
          <w:iCs/>
          <w:color w:val="000000"/>
          <w:sz w:val="21"/>
          <w:szCs w:val="19"/>
          <w:shd w:val="clear" w:color="auto" w:fill="FFFFFF"/>
        </w:rPr>
        <w:t xml:space="preserve"> </w:t>
      </w:r>
      <w:proofErr w:type="spellStart"/>
      <w:r w:rsidRPr="00FA69FB">
        <w:rPr>
          <w:i/>
          <w:iCs/>
          <w:color w:val="000000"/>
          <w:sz w:val="21"/>
          <w:shd w:val="clear" w:color="auto" w:fill="FFFFFF"/>
        </w:rPr>
        <w:t>μ</w:t>
      </w:r>
      <w:r w:rsidRPr="00FA69FB">
        <w:rPr>
          <w:color w:val="000000"/>
          <w:sz w:val="21"/>
          <w:shd w:val="clear" w:color="auto" w:fill="FFFFFF"/>
        </w:rPr>
        <w:t>m</w:t>
      </w:r>
      <w:proofErr w:type="spellEnd"/>
      <w:r w:rsidRPr="00FA69FB">
        <w:rPr>
          <w:color w:val="000000"/>
          <w:sz w:val="21"/>
          <w:shd w:val="clear" w:color="auto" w:fill="FFFFFF"/>
        </w:rPr>
        <w:t xml:space="preserve"> free-floating sections and every eighth slice was stained with </w:t>
      </w:r>
      <w:proofErr w:type="spellStart"/>
      <w:r w:rsidRPr="00FA69FB">
        <w:rPr>
          <w:color w:val="000000"/>
          <w:sz w:val="21"/>
          <w:shd w:val="clear" w:color="auto" w:fill="FFFFFF"/>
        </w:rPr>
        <w:t>cresyl</w:t>
      </w:r>
      <w:proofErr w:type="spellEnd"/>
      <w:r w:rsidRPr="00FA69FB">
        <w:rPr>
          <w:color w:val="000000"/>
          <w:sz w:val="21"/>
          <w:shd w:val="clear" w:color="auto" w:fill="FFFFFF"/>
        </w:rPr>
        <w:t xml:space="preserve"> violet for analysis of ischemic damage. These stained sections were imaged and infarct volumes were measured with </w:t>
      </w:r>
      <w:proofErr w:type="spellStart"/>
      <w:r w:rsidRPr="00FA69FB">
        <w:rPr>
          <w:color w:val="000000"/>
          <w:sz w:val="21"/>
          <w:shd w:val="clear" w:color="auto" w:fill="FFFFFF"/>
        </w:rPr>
        <w:t>SigmaScan</w:t>
      </w:r>
      <w:proofErr w:type="spellEnd"/>
      <w:r w:rsidRPr="00FA69FB">
        <w:rPr>
          <w:color w:val="000000"/>
          <w:sz w:val="21"/>
          <w:shd w:val="clear" w:color="auto" w:fill="FFFFFF"/>
        </w:rPr>
        <w:t xml:space="preserve"> Pro 5 (SPSS Inc.). A blinded investigator calculated infarct volumes as a percentage of the intact </w:t>
      </w:r>
      <w:proofErr w:type="spellStart"/>
      <w:r w:rsidRPr="00FA69FB">
        <w:rPr>
          <w:color w:val="000000"/>
          <w:sz w:val="21"/>
          <w:shd w:val="clear" w:color="auto" w:fill="FFFFFF"/>
        </w:rPr>
        <w:t>contralateral</w:t>
      </w:r>
      <w:proofErr w:type="spellEnd"/>
      <w:r w:rsidRPr="00FA69FB">
        <w:rPr>
          <w:color w:val="000000"/>
          <w:sz w:val="21"/>
          <w:shd w:val="clear" w:color="auto" w:fill="FFFFFF"/>
        </w:rPr>
        <w:t xml:space="preserve"> hemisphere.</w:t>
      </w:r>
    </w:p>
    <w:p w:rsidR="00470D4E" w:rsidRPr="00FA69FB" w:rsidRDefault="00470D4E" w:rsidP="00470D4E">
      <w:pPr>
        <w:spacing w:line="200" w:lineRule="atLeast"/>
        <w:jc w:val="both"/>
        <w:rPr>
          <w:color w:val="000000"/>
          <w:sz w:val="21"/>
          <w:shd w:val="clear" w:color="auto" w:fill="FFFFFF"/>
        </w:rPr>
      </w:pPr>
    </w:p>
    <w:p w:rsidR="00470D4E" w:rsidRPr="00FA69FB" w:rsidRDefault="00470D4E" w:rsidP="00470D4E">
      <w:pPr>
        <w:spacing w:line="200" w:lineRule="atLeast"/>
        <w:jc w:val="both"/>
        <w:rPr>
          <w:sz w:val="21"/>
        </w:rPr>
      </w:pPr>
      <w:proofErr w:type="gramStart"/>
      <w:r w:rsidRPr="00975AD6">
        <w:rPr>
          <w:sz w:val="21"/>
          <w:u w:val="single"/>
        </w:rPr>
        <w:t>Bacterial translocation and sequencing.</w:t>
      </w:r>
      <w:proofErr w:type="gramEnd"/>
      <w:r>
        <w:rPr>
          <w:b/>
          <w:sz w:val="21"/>
        </w:rPr>
        <w:t xml:space="preserve"> </w:t>
      </w:r>
      <w:r w:rsidRPr="00FA69FB">
        <w:rPr>
          <w:color w:val="212121"/>
          <w:sz w:val="21"/>
          <w:shd w:val="clear" w:color="auto" w:fill="FFFFFF"/>
        </w:rPr>
        <w:t xml:space="preserve">Genomic DNA was used as template DNA for PCR amplification of the 16S </w:t>
      </w:r>
      <w:proofErr w:type="spellStart"/>
      <w:r w:rsidRPr="00FA69FB">
        <w:rPr>
          <w:color w:val="212121"/>
          <w:sz w:val="21"/>
          <w:shd w:val="clear" w:color="auto" w:fill="FFFFFF"/>
        </w:rPr>
        <w:t>rRNA</w:t>
      </w:r>
      <w:proofErr w:type="spellEnd"/>
      <w:r w:rsidRPr="00FA69FB">
        <w:rPr>
          <w:color w:val="212121"/>
          <w:sz w:val="21"/>
          <w:shd w:val="clear" w:color="auto" w:fill="FFFFFF"/>
        </w:rPr>
        <w:t xml:space="preserve"> gene.  The reaction included </w:t>
      </w:r>
      <w:proofErr w:type="spellStart"/>
      <w:r w:rsidRPr="00FA69FB">
        <w:rPr>
          <w:color w:val="212121"/>
          <w:sz w:val="21"/>
          <w:shd w:val="clear" w:color="auto" w:fill="FFFFFF"/>
        </w:rPr>
        <w:t>Phusion</w:t>
      </w:r>
      <w:proofErr w:type="spellEnd"/>
      <w:r w:rsidRPr="00FA69FB">
        <w:rPr>
          <w:color w:val="212121"/>
          <w:sz w:val="21"/>
          <w:shd w:val="clear" w:color="auto" w:fill="FFFFFF"/>
        </w:rPr>
        <w:t xml:space="preserve"> High Fidelity DNA Polymerase (25 </w:t>
      </w:r>
      <w:proofErr w:type="spellStart"/>
      <w:r w:rsidRPr="00FA69FB">
        <w:rPr>
          <w:color w:val="212121"/>
          <w:sz w:val="21"/>
          <w:shd w:val="clear" w:color="auto" w:fill="FFFFFF"/>
        </w:rPr>
        <w:t>mM</w:t>
      </w:r>
      <w:proofErr w:type="spellEnd"/>
      <w:r w:rsidRPr="00FA69FB">
        <w:rPr>
          <w:color w:val="212121"/>
          <w:sz w:val="21"/>
          <w:shd w:val="clear" w:color="auto" w:fill="FFFFFF"/>
        </w:rPr>
        <w:t xml:space="preserve"> TAPS-</w:t>
      </w:r>
      <w:proofErr w:type="spellStart"/>
      <w:r w:rsidRPr="00FA69FB">
        <w:rPr>
          <w:color w:val="212121"/>
          <w:sz w:val="21"/>
          <w:shd w:val="clear" w:color="auto" w:fill="FFFFFF"/>
        </w:rPr>
        <w:t>HCl</w:t>
      </w:r>
      <w:proofErr w:type="spellEnd"/>
      <w:r w:rsidRPr="00FA69FB">
        <w:rPr>
          <w:color w:val="212121"/>
          <w:sz w:val="21"/>
          <w:shd w:val="clear" w:color="auto" w:fill="FFFFFF"/>
        </w:rPr>
        <w:t xml:space="preserve"> (pH 9.3 @ 25°C), 50 </w:t>
      </w:r>
      <w:proofErr w:type="spellStart"/>
      <w:r w:rsidRPr="00FA69FB">
        <w:rPr>
          <w:color w:val="212121"/>
          <w:sz w:val="21"/>
          <w:shd w:val="clear" w:color="auto" w:fill="FFFFFF"/>
        </w:rPr>
        <w:t>mM</w:t>
      </w:r>
      <w:proofErr w:type="spellEnd"/>
      <w:r w:rsidRPr="00FA69FB">
        <w:rPr>
          <w:color w:val="212121"/>
          <w:sz w:val="21"/>
          <w:shd w:val="clear" w:color="auto" w:fill="FFFFFF"/>
        </w:rPr>
        <w:t xml:space="preserve"> </w:t>
      </w:r>
      <w:proofErr w:type="spellStart"/>
      <w:r w:rsidRPr="00FA69FB">
        <w:rPr>
          <w:color w:val="212121"/>
          <w:sz w:val="21"/>
          <w:shd w:val="clear" w:color="auto" w:fill="FFFFFF"/>
        </w:rPr>
        <w:t>KCl</w:t>
      </w:r>
      <w:proofErr w:type="spellEnd"/>
      <w:r w:rsidRPr="00FA69FB">
        <w:rPr>
          <w:color w:val="212121"/>
          <w:sz w:val="21"/>
          <w:shd w:val="clear" w:color="auto" w:fill="FFFFFF"/>
        </w:rPr>
        <w:t xml:space="preserve">, 2 </w:t>
      </w:r>
      <w:proofErr w:type="spellStart"/>
      <w:r w:rsidRPr="00FA69FB">
        <w:rPr>
          <w:color w:val="212121"/>
          <w:sz w:val="21"/>
          <w:shd w:val="clear" w:color="auto" w:fill="FFFFFF"/>
        </w:rPr>
        <w:t>mM</w:t>
      </w:r>
      <w:proofErr w:type="spellEnd"/>
      <w:r w:rsidRPr="00FA69FB">
        <w:rPr>
          <w:color w:val="212121"/>
          <w:sz w:val="21"/>
          <w:shd w:val="clear" w:color="auto" w:fill="FFFFFF"/>
        </w:rPr>
        <w:t xml:space="preserve"> MgCl</w:t>
      </w:r>
      <w:r w:rsidRPr="00FA69FB">
        <w:rPr>
          <w:color w:val="212121"/>
          <w:sz w:val="21"/>
          <w:shd w:val="clear" w:color="auto" w:fill="FFFFFF"/>
          <w:vertAlign w:val="superscript"/>
        </w:rPr>
        <w:t>2</w:t>
      </w:r>
      <w:r w:rsidRPr="00FA69FB">
        <w:rPr>
          <w:color w:val="212121"/>
          <w:sz w:val="21"/>
          <w:shd w:val="clear" w:color="auto" w:fill="FFFFFF"/>
        </w:rPr>
        <w:t xml:space="preserve">, 1 </w:t>
      </w:r>
      <w:proofErr w:type="spellStart"/>
      <w:r w:rsidRPr="00FA69FB">
        <w:rPr>
          <w:color w:val="212121"/>
          <w:sz w:val="21"/>
          <w:shd w:val="clear" w:color="auto" w:fill="FFFFFF"/>
        </w:rPr>
        <w:t>mM</w:t>
      </w:r>
      <w:proofErr w:type="spellEnd"/>
      <w:r w:rsidRPr="00FA69FB">
        <w:rPr>
          <w:color w:val="212121"/>
          <w:sz w:val="21"/>
          <w:shd w:val="clear" w:color="auto" w:fill="FFFFFF"/>
        </w:rPr>
        <w:t xml:space="preserve"> b-</w:t>
      </w:r>
      <w:proofErr w:type="spellStart"/>
      <w:r w:rsidRPr="00FA69FB">
        <w:rPr>
          <w:color w:val="212121"/>
          <w:sz w:val="21"/>
          <w:shd w:val="clear" w:color="auto" w:fill="FFFFFF"/>
        </w:rPr>
        <w:t>mercaptoethanol</w:t>
      </w:r>
      <w:proofErr w:type="spellEnd"/>
      <w:r w:rsidRPr="00FA69FB">
        <w:rPr>
          <w:color w:val="212121"/>
          <w:sz w:val="21"/>
          <w:shd w:val="clear" w:color="auto" w:fill="FFFFFF"/>
        </w:rPr>
        <w:t xml:space="preserve">, 200 µM </w:t>
      </w:r>
      <w:proofErr w:type="spellStart"/>
      <w:r w:rsidRPr="00FA69FB">
        <w:rPr>
          <w:color w:val="212121"/>
          <w:sz w:val="21"/>
          <w:shd w:val="clear" w:color="auto" w:fill="FFFFFF"/>
        </w:rPr>
        <w:t>dNTPs</w:t>
      </w:r>
      <w:proofErr w:type="spellEnd"/>
      <w:r w:rsidRPr="00FA69FB">
        <w:rPr>
          <w:color w:val="212121"/>
          <w:sz w:val="21"/>
          <w:shd w:val="clear" w:color="auto" w:fill="FFFFFF"/>
        </w:rPr>
        <w:t xml:space="preserve"> including [</w:t>
      </w:r>
      <w:r w:rsidRPr="00FA69FB">
        <w:rPr>
          <w:color w:val="212121"/>
          <w:sz w:val="21"/>
          <w:shd w:val="clear" w:color="auto" w:fill="FFFFFF"/>
          <w:vertAlign w:val="superscript"/>
        </w:rPr>
        <w:t>3</w:t>
      </w:r>
      <w:r w:rsidRPr="00FA69FB">
        <w:rPr>
          <w:color w:val="212121"/>
          <w:sz w:val="21"/>
          <w:shd w:val="clear" w:color="auto" w:fill="FFFFFF"/>
        </w:rPr>
        <w:t>H]-</w:t>
      </w:r>
      <w:proofErr w:type="spellStart"/>
      <w:r w:rsidRPr="00FA69FB">
        <w:rPr>
          <w:color w:val="212121"/>
          <w:sz w:val="21"/>
          <w:shd w:val="clear" w:color="auto" w:fill="FFFFFF"/>
        </w:rPr>
        <w:t>dTTP</w:t>
      </w:r>
      <w:proofErr w:type="spellEnd"/>
      <w:r w:rsidRPr="00FA69FB">
        <w:rPr>
          <w:color w:val="212121"/>
          <w:sz w:val="21"/>
          <w:shd w:val="clear" w:color="auto" w:fill="FFFFFF"/>
        </w:rPr>
        <w:t xml:space="preserve"> and 15 </w:t>
      </w:r>
      <w:proofErr w:type="spellStart"/>
      <w:r w:rsidRPr="00FA69FB">
        <w:rPr>
          <w:color w:val="212121"/>
          <w:sz w:val="21"/>
          <w:shd w:val="clear" w:color="auto" w:fill="FFFFFF"/>
        </w:rPr>
        <w:t>nM</w:t>
      </w:r>
      <w:proofErr w:type="spellEnd"/>
      <w:r w:rsidRPr="00FA69FB">
        <w:rPr>
          <w:color w:val="212121"/>
          <w:sz w:val="21"/>
          <w:shd w:val="clear" w:color="auto" w:fill="FFFFFF"/>
        </w:rPr>
        <w:t xml:space="preserve"> primed M13 DNA),</w:t>
      </w:r>
      <w:r w:rsidRPr="00FA69FB">
        <w:rPr>
          <w:rStyle w:val="apple-converted-space"/>
          <w:color w:val="212121"/>
          <w:sz w:val="21"/>
          <w:shd w:val="clear" w:color="auto" w:fill="FFFFFF"/>
        </w:rPr>
        <w:t> </w:t>
      </w:r>
      <w:r w:rsidRPr="00FA69FB">
        <w:rPr>
          <w:color w:val="000000"/>
          <w:sz w:val="21"/>
          <w:shd w:val="clear" w:color="auto" w:fill="FFFFFF"/>
        </w:rPr>
        <w:t>bovine serum albumin (0.06 % final)</w:t>
      </w:r>
      <w:r w:rsidRPr="00FA69FB">
        <w:rPr>
          <w:color w:val="212121"/>
          <w:sz w:val="21"/>
          <w:shd w:val="clear" w:color="auto" w:fill="FFFFFF"/>
        </w:rPr>
        <w:t>, and</w:t>
      </w:r>
      <w:r w:rsidRPr="00FA69FB">
        <w:rPr>
          <w:rStyle w:val="apple-converted-space"/>
          <w:color w:val="212121"/>
          <w:sz w:val="21"/>
          <w:shd w:val="clear" w:color="auto" w:fill="FFFFFF"/>
        </w:rPr>
        <w:t> </w:t>
      </w:r>
      <w:r w:rsidRPr="00FA69FB">
        <w:rPr>
          <w:color w:val="000000"/>
          <w:sz w:val="21"/>
          <w:shd w:val="clear" w:color="auto" w:fill="FFFFFF"/>
        </w:rPr>
        <w:t xml:space="preserve">10 </w:t>
      </w:r>
      <w:proofErr w:type="spellStart"/>
      <w:r w:rsidRPr="00FA69FB">
        <w:rPr>
          <w:color w:val="000000"/>
          <w:sz w:val="21"/>
          <w:shd w:val="clear" w:color="auto" w:fill="FFFFFF"/>
        </w:rPr>
        <w:t>uM</w:t>
      </w:r>
      <w:proofErr w:type="spellEnd"/>
      <w:r w:rsidRPr="00FA69FB">
        <w:rPr>
          <w:rStyle w:val="apple-converted-space"/>
          <w:color w:val="212121"/>
          <w:sz w:val="21"/>
          <w:shd w:val="clear" w:color="auto" w:fill="FFFFFF"/>
        </w:rPr>
        <w:t> </w:t>
      </w:r>
      <w:r w:rsidRPr="00FA69FB">
        <w:rPr>
          <w:color w:val="212121"/>
          <w:sz w:val="21"/>
          <w:shd w:val="clear" w:color="auto" w:fill="FFFFFF"/>
        </w:rPr>
        <w:t>bacterial specific primers 27F </w:t>
      </w:r>
      <w:r w:rsidRPr="00FA69FB">
        <w:rPr>
          <w:rStyle w:val="apple-converted-space"/>
          <w:color w:val="212121"/>
          <w:sz w:val="21"/>
          <w:shd w:val="clear" w:color="auto" w:fill="FFFFFF"/>
        </w:rPr>
        <w:t> </w:t>
      </w:r>
      <w:r w:rsidRPr="00FA69FB">
        <w:rPr>
          <w:color w:val="000000"/>
          <w:sz w:val="21"/>
          <w:shd w:val="clear" w:color="auto" w:fill="FFFFFF"/>
        </w:rPr>
        <w:t>(AGAGTTTGATCMTGGCTCAG) and 1391R (GACGGGCGGTGTGTRCA)</w:t>
      </w:r>
      <w:r w:rsidRPr="00FA69FB">
        <w:rPr>
          <w:color w:val="212121"/>
          <w:sz w:val="21"/>
          <w:shd w:val="clear" w:color="auto" w:fill="FFFFFF"/>
        </w:rPr>
        <w:t xml:space="preserve">.  The PCR reaction was incubated in a </w:t>
      </w:r>
      <w:proofErr w:type="spellStart"/>
      <w:r w:rsidRPr="00FA69FB">
        <w:rPr>
          <w:color w:val="212121"/>
          <w:sz w:val="21"/>
          <w:shd w:val="clear" w:color="auto" w:fill="FFFFFF"/>
        </w:rPr>
        <w:t>thermocycler</w:t>
      </w:r>
      <w:proofErr w:type="spellEnd"/>
      <w:r w:rsidRPr="00FA69FB">
        <w:rPr>
          <w:color w:val="212121"/>
          <w:sz w:val="21"/>
          <w:shd w:val="clear" w:color="auto" w:fill="FFFFFF"/>
        </w:rPr>
        <w:t xml:space="preserve"> (</w:t>
      </w:r>
      <w:proofErr w:type="spellStart"/>
      <w:r w:rsidRPr="00FA69FB">
        <w:rPr>
          <w:color w:val="212121"/>
          <w:sz w:val="21"/>
          <w:shd w:val="clear" w:color="auto" w:fill="FFFFFF"/>
        </w:rPr>
        <w:t>Eppendorf</w:t>
      </w:r>
      <w:proofErr w:type="spellEnd"/>
      <w:r w:rsidRPr="00FA69FB">
        <w:rPr>
          <w:color w:val="212121"/>
          <w:sz w:val="21"/>
          <w:shd w:val="clear" w:color="auto" w:fill="FFFFFF"/>
        </w:rPr>
        <w:t xml:space="preserve"> </w:t>
      </w:r>
      <w:proofErr w:type="spellStart"/>
      <w:r w:rsidRPr="00FA69FB">
        <w:rPr>
          <w:color w:val="212121"/>
          <w:sz w:val="21"/>
          <w:shd w:val="clear" w:color="auto" w:fill="FFFFFF"/>
        </w:rPr>
        <w:t>Mastercycler</w:t>
      </w:r>
      <w:proofErr w:type="spellEnd"/>
      <w:r w:rsidRPr="00FA69FB">
        <w:rPr>
          <w:color w:val="212121"/>
          <w:sz w:val="21"/>
          <w:shd w:val="clear" w:color="auto" w:fill="FFFFFF"/>
        </w:rPr>
        <w:t xml:space="preserve"> Pro 384 and Control Panel) for 3.5 min at 95.0°C then for 30 cycles of 30 s at 95.0°C, 30 s at 50.0°C and 90 s at 72.0°C, followed by final extension as 72.0°C for 10 minutes.  PCR products were cleaned with the QIAGEN </w:t>
      </w:r>
      <w:proofErr w:type="spellStart"/>
      <w:r>
        <w:rPr>
          <w:color w:val="212121"/>
          <w:sz w:val="21"/>
          <w:shd w:val="clear" w:color="auto" w:fill="FFFFFF"/>
        </w:rPr>
        <w:t>GeneRead</w:t>
      </w:r>
      <w:proofErr w:type="spellEnd"/>
      <w:r>
        <w:rPr>
          <w:color w:val="212121"/>
          <w:sz w:val="21"/>
          <w:shd w:val="clear" w:color="auto" w:fill="FFFFFF"/>
        </w:rPr>
        <w:t xml:space="preserve"> Size Selection Kit </w:t>
      </w:r>
      <w:r w:rsidRPr="00FA69FB">
        <w:rPr>
          <w:color w:val="212121"/>
          <w:sz w:val="21"/>
          <w:shd w:val="clear" w:color="auto" w:fill="FFFFFF"/>
        </w:rPr>
        <w:t xml:space="preserve">before sequencing from 27F on an ABI 3500 Genetic Analyzer using </w:t>
      </w:r>
      <w:proofErr w:type="spellStart"/>
      <w:r w:rsidRPr="00FA69FB">
        <w:rPr>
          <w:color w:val="212121"/>
          <w:sz w:val="21"/>
          <w:shd w:val="clear" w:color="auto" w:fill="FFFFFF"/>
        </w:rPr>
        <w:t>BigDye</w:t>
      </w:r>
      <w:proofErr w:type="spellEnd"/>
      <w:r w:rsidRPr="00FA69FB">
        <w:rPr>
          <w:color w:val="212121"/>
          <w:sz w:val="21"/>
          <w:shd w:val="clear" w:color="auto" w:fill="FFFFFF"/>
        </w:rPr>
        <w:t xml:space="preserve"> Terminator v1.1 (Life Technologies).  Sequences were run in a </w:t>
      </w:r>
      <w:r w:rsidRPr="00FA69FB">
        <w:rPr>
          <w:sz w:val="21"/>
          <w:shd w:val="clear" w:color="auto" w:fill="FFFFFF"/>
        </w:rPr>
        <w:t xml:space="preserve">NCBI BLAST search against the 16S </w:t>
      </w:r>
      <w:proofErr w:type="spellStart"/>
      <w:r w:rsidRPr="00FA69FB">
        <w:rPr>
          <w:sz w:val="21"/>
          <w:shd w:val="clear" w:color="auto" w:fill="FFFFFF"/>
        </w:rPr>
        <w:t>rRNA</w:t>
      </w:r>
      <w:proofErr w:type="spellEnd"/>
      <w:r w:rsidRPr="00FA69FB">
        <w:rPr>
          <w:sz w:val="21"/>
          <w:shd w:val="clear" w:color="auto" w:fill="FFFFFF"/>
        </w:rPr>
        <w:t xml:space="preserve"> sequence database, and matches were determined as having ≥ 97% identity.</w:t>
      </w:r>
    </w:p>
    <w:p w:rsidR="00470D4E" w:rsidRPr="00FA69FB" w:rsidRDefault="00470D4E" w:rsidP="00470D4E">
      <w:pPr>
        <w:spacing w:line="200" w:lineRule="atLeast"/>
        <w:jc w:val="both"/>
        <w:rPr>
          <w:sz w:val="21"/>
        </w:rPr>
      </w:pPr>
    </w:p>
    <w:p w:rsidR="00470D4E" w:rsidRDefault="00470D4E" w:rsidP="00470D4E">
      <w:pPr>
        <w:spacing w:line="200" w:lineRule="atLeast"/>
        <w:jc w:val="both"/>
        <w:rPr>
          <w:color w:val="000000"/>
          <w:sz w:val="21"/>
          <w:shd w:val="clear" w:color="auto" w:fill="FFFFFF"/>
        </w:rPr>
      </w:pPr>
      <w:r w:rsidRPr="006C715C">
        <w:rPr>
          <w:noProof/>
          <w:sz w:val="21"/>
          <w:u w:val="single"/>
        </w:rPr>
        <w:pict>
          <v:shapetype id="_x0000_t202" coordsize="21600,21600" o:spt="202" path="m,l,21600r21600,l21600,xe">
            <v:stroke joinstyle="miter"/>
            <v:path gradientshapeok="t" o:connecttype="rect"/>
          </v:shapetype>
          <v:shape id="_x0000_s1032" type="#_x0000_t202" style="position:absolute;left:0;text-align:left;margin-left:0;margin-top:683.9pt;width:511.05pt;height:54pt;z-index:251666432;visibility:visible;mso-position-horizontal:center;mso-position-horizontal-relative:margin;mso-position-vertical-relative:margin" filled="f" stroked="f">
            <v:textbox inset="0,0,0,0">
              <w:txbxContent>
                <w:p w:rsidR="00470D4E" w:rsidRDefault="00470D4E" w:rsidP="00470D4E">
                  <w:pPr>
                    <w:pBdr>
                      <w:bottom w:val="single" w:sz="12" w:space="0" w:color="auto"/>
                    </w:pBdr>
                    <w:rPr>
                      <w:rFonts w:ascii="Calibri" w:hAnsi="Calibri" w:cs="Calibri"/>
                    </w:rPr>
                  </w:pPr>
                </w:p>
                <w:p w:rsidR="00470D4E" w:rsidRDefault="00470D4E" w:rsidP="00470D4E">
                  <w:pPr>
                    <w:spacing w:line="40" w:lineRule="exact"/>
                    <w:rPr>
                      <w:rFonts w:ascii="Calibri" w:hAnsi="Calibri" w:cs="Calibri"/>
                    </w:rPr>
                  </w:pPr>
                </w:p>
                <w:p w:rsidR="00470D4E" w:rsidRDefault="00470D4E" w:rsidP="00470D4E">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1                                           AGING, </w:t>
                  </w:r>
                  <w:r>
                    <w:rPr>
                      <w:rFonts w:ascii="Calibri" w:hAnsi="Calibri" w:cs="Calibri"/>
                      <w:sz w:val="20"/>
                      <w:szCs w:val="20"/>
                    </w:rPr>
                    <w:t>May 2016, Vol. 8 No.5</w:t>
                  </w:r>
                </w:p>
              </w:txbxContent>
            </v:textbox>
            <w10:wrap anchorx="margin" anchory="margin"/>
          </v:shape>
        </w:pict>
      </w:r>
      <w:r w:rsidRPr="00975AD6">
        <w:rPr>
          <w:sz w:val="21"/>
          <w:u w:val="single"/>
        </w:rPr>
        <w:t xml:space="preserve">Flow </w:t>
      </w:r>
      <w:proofErr w:type="spellStart"/>
      <w:r w:rsidRPr="00975AD6">
        <w:rPr>
          <w:sz w:val="21"/>
          <w:u w:val="single"/>
        </w:rPr>
        <w:t>cytometry</w:t>
      </w:r>
      <w:proofErr w:type="spellEnd"/>
      <w:r w:rsidRPr="00975AD6">
        <w:rPr>
          <w:sz w:val="21"/>
          <w:u w:val="single"/>
        </w:rPr>
        <w:t>.</w:t>
      </w:r>
      <w:r>
        <w:rPr>
          <w:b/>
          <w:sz w:val="21"/>
        </w:rPr>
        <w:t xml:space="preserve"> </w:t>
      </w:r>
      <w:r w:rsidRPr="00FA69FB">
        <w:rPr>
          <w:sz w:val="21"/>
        </w:rPr>
        <w:t xml:space="preserve">Blood was drawn via cardiac puncture with </w:t>
      </w:r>
      <w:proofErr w:type="spellStart"/>
      <w:r w:rsidRPr="00FA69FB">
        <w:rPr>
          <w:sz w:val="21"/>
        </w:rPr>
        <w:t>heparinized</w:t>
      </w:r>
      <w:proofErr w:type="spellEnd"/>
      <w:r w:rsidRPr="00FA69FB">
        <w:rPr>
          <w:sz w:val="21"/>
        </w:rPr>
        <w:t xml:space="preserve"> needles, and mice were subsequently </w:t>
      </w:r>
      <w:proofErr w:type="spellStart"/>
      <w:r w:rsidRPr="00FA69FB">
        <w:rPr>
          <w:sz w:val="21"/>
        </w:rPr>
        <w:t>transcardially</w:t>
      </w:r>
      <w:proofErr w:type="spellEnd"/>
      <w:r w:rsidRPr="00FA69FB">
        <w:rPr>
          <w:sz w:val="21"/>
        </w:rPr>
        <w:t xml:space="preserve"> </w:t>
      </w:r>
      <w:proofErr w:type="spellStart"/>
      <w:r w:rsidRPr="00FA69FB">
        <w:rPr>
          <w:sz w:val="21"/>
        </w:rPr>
        <w:t>perfused</w:t>
      </w:r>
      <w:proofErr w:type="spellEnd"/>
      <w:r w:rsidRPr="00FA69FB">
        <w:rPr>
          <w:sz w:val="21"/>
        </w:rPr>
        <w:t xml:space="preserve"> with PBS.  </w:t>
      </w:r>
      <w:r w:rsidRPr="00FA69FB">
        <w:rPr>
          <w:color w:val="000000"/>
          <w:sz w:val="21"/>
          <w:shd w:val="clear" w:color="auto" w:fill="FFFFFF"/>
        </w:rPr>
        <w:t xml:space="preserve">Red blood cells were </w:t>
      </w:r>
      <w:proofErr w:type="spellStart"/>
      <w:r w:rsidRPr="00FA69FB">
        <w:rPr>
          <w:color w:val="000000"/>
          <w:sz w:val="21"/>
          <w:shd w:val="clear" w:color="auto" w:fill="FFFFFF"/>
        </w:rPr>
        <w:t>lysed</w:t>
      </w:r>
      <w:proofErr w:type="spellEnd"/>
      <w:r w:rsidRPr="00FA69FB">
        <w:rPr>
          <w:color w:val="000000"/>
          <w:sz w:val="21"/>
          <w:shd w:val="clear" w:color="auto" w:fill="FFFFFF"/>
        </w:rPr>
        <w:t xml:space="preserve"> with three consecutive 10-minute incubations with </w:t>
      </w:r>
      <w:proofErr w:type="spellStart"/>
      <w:r w:rsidRPr="00FA69FB">
        <w:rPr>
          <w:color w:val="000000"/>
          <w:sz w:val="21"/>
          <w:shd w:val="clear" w:color="auto" w:fill="FFFFFF"/>
        </w:rPr>
        <w:t>Tris</w:t>
      </w:r>
      <w:proofErr w:type="spellEnd"/>
      <w:r w:rsidRPr="00FA69FB">
        <w:rPr>
          <w:color w:val="000000"/>
          <w:sz w:val="21"/>
          <w:shd w:val="clear" w:color="auto" w:fill="FFFFFF"/>
        </w:rPr>
        <w:t xml:space="preserve">-ammonium chloride (Stem Cell Technologies).  </w:t>
      </w:r>
      <w:r w:rsidRPr="00FA69FB">
        <w:rPr>
          <w:sz w:val="21"/>
        </w:rPr>
        <w:t xml:space="preserve">Brains were harvested and the brainstem, cerebellum and olfactory bulbs were removed and brains were split into left and right hemispheres and processed as described previously </w:t>
      </w:r>
      <w:r>
        <w:rPr>
          <w:sz w:val="21"/>
        </w:rPr>
        <w:t>[2]</w:t>
      </w:r>
      <w:r w:rsidRPr="00FA69FB">
        <w:rPr>
          <w:sz w:val="21"/>
        </w:rPr>
        <w:t>.  Blood and brain leukocytes</w:t>
      </w:r>
      <w:r w:rsidRPr="00FA69FB">
        <w:rPr>
          <w:color w:val="000000"/>
          <w:sz w:val="21"/>
          <w:shd w:val="clear" w:color="auto" w:fill="FFFFFF"/>
        </w:rPr>
        <w:t xml:space="preserve"> were washed and blocked with mouse </w:t>
      </w:r>
      <w:proofErr w:type="spellStart"/>
      <w:r w:rsidRPr="00FA69FB">
        <w:rPr>
          <w:color w:val="000000"/>
          <w:sz w:val="21"/>
          <w:shd w:val="clear" w:color="auto" w:fill="FFFFFF"/>
        </w:rPr>
        <w:t>Fc</w:t>
      </w:r>
      <w:proofErr w:type="spellEnd"/>
      <w:r w:rsidRPr="00FA69FB">
        <w:rPr>
          <w:color w:val="000000"/>
          <w:sz w:val="21"/>
          <w:shd w:val="clear" w:color="auto" w:fill="FFFFFF"/>
        </w:rPr>
        <w:t xml:space="preserve"> Block </w:t>
      </w:r>
      <w:r w:rsidRPr="00FA69FB">
        <w:rPr>
          <w:color w:val="000000"/>
          <w:sz w:val="21"/>
          <w:shd w:val="clear" w:color="auto" w:fill="FFFFFF"/>
        </w:rPr>
        <w:lastRenderedPageBreak/>
        <w:t>(</w:t>
      </w:r>
      <w:proofErr w:type="spellStart"/>
      <w:r w:rsidRPr="00FA69FB">
        <w:rPr>
          <w:color w:val="000000"/>
          <w:sz w:val="21"/>
          <w:shd w:val="clear" w:color="auto" w:fill="FFFFFF"/>
        </w:rPr>
        <w:t>eBioscience</w:t>
      </w:r>
      <w:proofErr w:type="spellEnd"/>
      <w:r w:rsidRPr="00FA69FB">
        <w:rPr>
          <w:color w:val="000000"/>
          <w:sz w:val="21"/>
          <w:shd w:val="clear" w:color="auto" w:fill="FFFFFF"/>
        </w:rPr>
        <w:t xml:space="preserve">) prior to staining with primary antibody-conjugated </w:t>
      </w:r>
      <w:proofErr w:type="spellStart"/>
      <w:r w:rsidRPr="00FA69FB">
        <w:rPr>
          <w:color w:val="000000"/>
          <w:sz w:val="21"/>
          <w:shd w:val="clear" w:color="auto" w:fill="FFFFFF"/>
        </w:rPr>
        <w:t>flourophores</w:t>
      </w:r>
      <w:proofErr w:type="spellEnd"/>
      <w:r w:rsidRPr="00FA69FB">
        <w:rPr>
          <w:color w:val="000000"/>
          <w:sz w:val="21"/>
          <w:shd w:val="clear" w:color="auto" w:fill="FFFFFF"/>
        </w:rPr>
        <w:t>:  CD45-eF450, CD11b-APCeF780, CD4-APC, MHCII-FITC (</w:t>
      </w:r>
      <w:proofErr w:type="spellStart"/>
      <w:r w:rsidRPr="00FA69FB">
        <w:rPr>
          <w:color w:val="000000"/>
          <w:sz w:val="21"/>
          <w:shd w:val="clear" w:color="auto" w:fill="FFFFFF"/>
        </w:rPr>
        <w:t>eBioscience</w:t>
      </w:r>
      <w:proofErr w:type="spellEnd"/>
      <w:r w:rsidRPr="00FA69FB">
        <w:rPr>
          <w:color w:val="000000"/>
          <w:sz w:val="21"/>
          <w:shd w:val="clear" w:color="auto" w:fill="FFFFFF"/>
        </w:rPr>
        <w:t>), and CD3-BV510, CD8-PerCpCy5.5, CD69-PE (</w:t>
      </w:r>
      <w:proofErr w:type="spellStart"/>
      <w:r w:rsidRPr="00FA69FB">
        <w:rPr>
          <w:color w:val="000000"/>
          <w:sz w:val="21"/>
          <w:shd w:val="clear" w:color="auto" w:fill="FFFFFF"/>
        </w:rPr>
        <w:t>BioLegend</w:t>
      </w:r>
      <w:proofErr w:type="spellEnd"/>
      <w:r w:rsidRPr="00FA69FB">
        <w:rPr>
          <w:color w:val="000000"/>
          <w:sz w:val="21"/>
          <w:shd w:val="clear" w:color="auto" w:fill="FFFFFF"/>
        </w:rPr>
        <w:t xml:space="preserve">). For live/dead discrimination, a fixable viability dye, carboxylic acid </w:t>
      </w:r>
      <w:proofErr w:type="spellStart"/>
      <w:r w:rsidRPr="00FA69FB">
        <w:rPr>
          <w:color w:val="000000"/>
          <w:sz w:val="21"/>
          <w:shd w:val="clear" w:color="auto" w:fill="FFFFFF"/>
        </w:rPr>
        <w:t>succinimidyl</w:t>
      </w:r>
      <w:proofErr w:type="spellEnd"/>
      <w:r w:rsidRPr="00FA69FB">
        <w:rPr>
          <w:color w:val="000000"/>
          <w:sz w:val="21"/>
          <w:shd w:val="clear" w:color="auto" w:fill="FFFFFF"/>
        </w:rPr>
        <w:t xml:space="preserve"> ester (CASE-AF350, </w:t>
      </w:r>
      <w:proofErr w:type="spellStart"/>
      <w:r w:rsidRPr="00FA69FB">
        <w:rPr>
          <w:color w:val="000000"/>
          <w:sz w:val="21"/>
          <w:shd w:val="clear" w:color="auto" w:fill="FFFFFF"/>
        </w:rPr>
        <w:t>Invitrogen</w:t>
      </w:r>
      <w:proofErr w:type="spellEnd"/>
      <w:r w:rsidRPr="00FA69FB">
        <w:rPr>
          <w:color w:val="000000"/>
          <w:sz w:val="21"/>
          <w:shd w:val="clear" w:color="auto" w:fill="FFFFFF"/>
        </w:rPr>
        <w:t>), was diluted at 1:300 from a working stock of 0.3mg/</w:t>
      </w:r>
      <w:proofErr w:type="spellStart"/>
      <w:r w:rsidRPr="00FA69FB">
        <w:rPr>
          <w:color w:val="000000"/>
          <w:sz w:val="21"/>
          <w:shd w:val="clear" w:color="auto" w:fill="FFFFFF"/>
        </w:rPr>
        <w:t>mL.</w:t>
      </w:r>
      <w:proofErr w:type="spellEnd"/>
      <w:r w:rsidRPr="00FA69FB">
        <w:rPr>
          <w:color w:val="000000"/>
          <w:sz w:val="21"/>
          <w:shd w:val="clear" w:color="auto" w:fill="FFFFFF"/>
        </w:rPr>
        <w:t xml:space="preserve">  Cells were briefly fixed in 2% </w:t>
      </w:r>
      <w:proofErr w:type="spellStart"/>
      <w:r w:rsidRPr="00FA69FB">
        <w:rPr>
          <w:color w:val="000000"/>
          <w:sz w:val="21"/>
          <w:shd w:val="clear" w:color="auto" w:fill="FFFFFF"/>
        </w:rPr>
        <w:t>paraformaldehyde</w:t>
      </w:r>
      <w:proofErr w:type="spellEnd"/>
      <w:r w:rsidRPr="00FA69FB">
        <w:rPr>
          <w:color w:val="000000"/>
          <w:sz w:val="21"/>
          <w:shd w:val="clear" w:color="auto" w:fill="FFFFFF"/>
        </w:rPr>
        <w:t xml:space="preserve"> (PFA).  Data were acquired on a LSRII using </w:t>
      </w:r>
      <w:proofErr w:type="spellStart"/>
      <w:r w:rsidRPr="00FA69FB">
        <w:rPr>
          <w:color w:val="000000"/>
          <w:sz w:val="21"/>
          <w:shd w:val="clear" w:color="auto" w:fill="FFFFFF"/>
        </w:rPr>
        <w:t>FACsDiva</w:t>
      </w:r>
      <w:proofErr w:type="spellEnd"/>
      <w:r w:rsidRPr="00FA69FB">
        <w:rPr>
          <w:color w:val="000000"/>
          <w:sz w:val="21"/>
          <w:shd w:val="clear" w:color="auto" w:fill="FFFFFF"/>
        </w:rPr>
        <w:t xml:space="preserve"> 6.0 (BD Biosciences) and analyzed using </w:t>
      </w:r>
      <w:proofErr w:type="spellStart"/>
      <w:r w:rsidRPr="00FA69FB">
        <w:rPr>
          <w:color w:val="000000"/>
          <w:sz w:val="21"/>
          <w:shd w:val="clear" w:color="auto" w:fill="FFFFFF"/>
        </w:rPr>
        <w:t>FlowJo</w:t>
      </w:r>
      <w:proofErr w:type="spellEnd"/>
      <w:r w:rsidRPr="00FA69FB">
        <w:rPr>
          <w:color w:val="000000"/>
          <w:sz w:val="21"/>
          <w:shd w:val="clear" w:color="auto" w:fill="FFFFFF"/>
        </w:rPr>
        <w:t xml:space="preserve"> (</w:t>
      </w:r>
      <w:proofErr w:type="spellStart"/>
      <w:r w:rsidRPr="00FA69FB">
        <w:rPr>
          <w:color w:val="000000"/>
          <w:sz w:val="21"/>
          <w:shd w:val="clear" w:color="auto" w:fill="FFFFFF"/>
        </w:rPr>
        <w:t>Treestar</w:t>
      </w:r>
      <w:proofErr w:type="spellEnd"/>
      <w:r w:rsidRPr="00FA69FB">
        <w:rPr>
          <w:color w:val="000000"/>
          <w:sz w:val="21"/>
          <w:shd w:val="clear" w:color="auto" w:fill="FFFFFF"/>
        </w:rPr>
        <w:t xml:space="preserve"> Inc.).  No less than 100,000 events were recorded for each sample.  Peripheral T cells were identified as CD45</w:t>
      </w:r>
      <w:r w:rsidRPr="00FA69FB">
        <w:rPr>
          <w:color w:val="000000"/>
          <w:sz w:val="21"/>
          <w:shd w:val="clear" w:color="auto" w:fill="FFFFFF"/>
          <w:vertAlign w:val="superscript"/>
        </w:rPr>
        <w:t>+</w:t>
      </w:r>
      <w:r w:rsidRPr="00FA69FB">
        <w:rPr>
          <w:color w:val="000000"/>
          <w:sz w:val="21"/>
          <w:shd w:val="clear" w:color="auto" w:fill="FFFFFF"/>
        </w:rPr>
        <w:t>CD11b</w:t>
      </w:r>
      <w:r w:rsidRPr="00FA69FB">
        <w:rPr>
          <w:color w:val="000000"/>
          <w:sz w:val="21"/>
          <w:shd w:val="clear" w:color="auto" w:fill="FFFFFF"/>
          <w:vertAlign w:val="superscript"/>
        </w:rPr>
        <w:t>-</w:t>
      </w:r>
      <w:r w:rsidRPr="00FA69FB">
        <w:rPr>
          <w:color w:val="000000"/>
          <w:sz w:val="21"/>
          <w:shd w:val="clear" w:color="auto" w:fill="FFFFFF"/>
        </w:rPr>
        <w:t>CD3</w:t>
      </w:r>
      <w:r w:rsidRPr="00FA69FB">
        <w:rPr>
          <w:color w:val="000000"/>
          <w:sz w:val="21"/>
          <w:shd w:val="clear" w:color="auto" w:fill="FFFFFF"/>
          <w:vertAlign w:val="superscript"/>
        </w:rPr>
        <w:t>+</w:t>
      </w:r>
      <w:r w:rsidRPr="00FA69FB">
        <w:rPr>
          <w:color w:val="000000"/>
          <w:sz w:val="21"/>
          <w:shd w:val="clear" w:color="auto" w:fill="FFFFFF"/>
        </w:rPr>
        <w:t>, peripheral lymphocytes as CD45</w:t>
      </w:r>
      <w:r w:rsidRPr="00FA69FB">
        <w:rPr>
          <w:color w:val="000000"/>
          <w:sz w:val="21"/>
          <w:shd w:val="clear" w:color="auto" w:fill="FFFFFF"/>
          <w:vertAlign w:val="superscript"/>
        </w:rPr>
        <w:t>+</w:t>
      </w:r>
      <w:r w:rsidRPr="00FA69FB">
        <w:rPr>
          <w:color w:val="000000"/>
          <w:sz w:val="21"/>
          <w:shd w:val="clear" w:color="auto" w:fill="FFFFFF"/>
        </w:rPr>
        <w:t>CD11b</w:t>
      </w:r>
      <w:r w:rsidRPr="00FA69FB">
        <w:rPr>
          <w:color w:val="000000"/>
          <w:sz w:val="21"/>
          <w:shd w:val="clear" w:color="auto" w:fill="FFFFFF"/>
          <w:vertAlign w:val="superscript"/>
        </w:rPr>
        <w:t>-</w:t>
      </w:r>
      <w:r w:rsidRPr="00FA69FB">
        <w:rPr>
          <w:color w:val="000000"/>
          <w:sz w:val="21"/>
          <w:shd w:val="clear" w:color="auto" w:fill="FFFFFF"/>
        </w:rPr>
        <w:t>, peripheral myeloid cells as CD45</w:t>
      </w:r>
      <w:r w:rsidRPr="00FA69FB">
        <w:rPr>
          <w:color w:val="000000"/>
          <w:sz w:val="21"/>
          <w:shd w:val="clear" w:color="auto" w:fill="FFFFFF"/>
          <w:vertAlign w:val="superscript"/>
        </w:rPr>
        <w:t>+</w:t>
      </w:r>
      <w:r w:rsidRPr="00FA69FB">
        <w:rPr>
          <w:color w:val="000000"/>
          <w:sz w:val="21"/>
          <w:shd w:val="clear" w:color="auto" w:fill="FFFFFF"/>
        </w:rPr>
        <w:t>CD11b</w:t>
      </w:r>
      <w:r w:rsidRPr="00FA69FB">
        <w:rPr>
          <w:color w:val="000000"/>
          <w:sz w:val="21"/>
          <w:shd w:val="clear" w:color="auto" w:fill="FFFFFF"/>
          <w:vertAlign w:val="superscript"/>
        </w:rPr>
        <w:t>+</w:t>
      </w:r>
      <w:r w:rsidRPr="00FA69FB">
        <w:rPr>
          <w:color w:val="000000"/>
          <w:sz w:val="21"/>
          <w:shd w:val="clear" w:color="auto" w:fill="FFFFFF"/>
        </w:rPr>
        <w:t>, and peripheral leukocytes and T cells infiltrating into the brain as CD45</w:t>
      </w:r>
      <w:r w:rsidRPr="00FA69FB">
        <w:rPr>
          <w:color w:val="000000"/>
          <w:sz w:val="21"/>
          <w:shd w:val="clear" w:color="auto" w:fill="FFFFFF"/>
          <w:vertAlign w:val="superscript"/>
        </w:rPr>
        <w:t>hi</w:t>
      </w:r>
      <w:r w:rsidRPr="00FA69FB">
        <w:rPr>
          <w:color w:val="000000"/>
          <w:sz w:val="21"/>
          <w:shd w:val="clear" w:color="auto" w:fill="FFFFFF"/>
        </w:rPr>
        <w:t xml:space="preserve"> and CD45</w:t>
      </w:r>
      <w:r w:rsidRPr="00FA69FB">
        <w:rPr>
          <w:color w:val="000000"/>
          <w:sz w:val="21"/>
          <w:shd w:val="clear" w:color="auto" w:fill="FFFFFF"/>
          <w:vertAlign w:val="superscript"/>
        </w:rPr>
        <w:t>hi</w:t>
      </w:r>
      <w:r w:rsidRPr="00FA69FB">
        <w:rPr>
          <w:color w:val="000000"/>
          <w:sz w:val="21"/>
          <w:shd w:val="clear" w:color="auto" w:fill="FFFFFF"/>
        </w:rPr>
        <w:t>CD11b</w:t>
      </w:r>
      <w:r w:rsidRPr="00FA69FB">
        <w:rPr>
          <w:color w:val="000000"/>
          <w:sz w:val="21"/>
          <w:shd w:val="clear" w:color="auto" w:fill="FFFFFF"/>
          <w:vertAlign w:val="superscript"/>
        </w:rPr>
        <w:t>-</w:t>
      </w:r>
      <w:r w:rsidRPr="00FA69FB">
        <w:rPr>
          <w:color w:val="000000"/>
          <w:sz w:val="21"/>
          <w:shd w:val="clear" w:color="auto" w:fill="FFFFFF"/>
        </w:rPr>
        <w:t>CD3</w:t>
      </w:r>
      <w:r w:rsidRPr="00FA69FB">
        <w:rPr>
          <w:color w:val="000000"/>
          <w:sz w:val="21"/>
          <w:shd w:val="clear" w:color="auto" w:fill="FFFFFF"/>
          <w:vertAlign w:val="superscript"/>
        </w:rPr>
        <w:t>+</w:t>
      </w:r>
      <w:r w:rsidRPr="00FA69FB">
        <w:rPr>
          <w:color w:val="000000"/>
          <w:sz w:val="21"/>
          <w:shd w:val="clear" w:color="auto" w:fill="FFFFFF"/>
        </w:rPr>
        <w:t>, respectively, relative to resident microglia, which express CD45 at intermediate levels (CD45</w:t>
      </w:r>
      <w:r w:rsidRPr="00FA69FB">
        <w:rPr>
          <w:color w:val="000000"/>
          <w:sz w:val="21"/>
          <w:shd w:val="clear" w:color="auto" w:fill="FFFFFF"/>
          <w:vertAlign w:val="superscript"/>
        </w:rPr>
        <w:t>int</w:t>
      </w:r>
      <w:r w:rsidRPr="00FA69FB">
        <w:rPr>
          <w:color w:val="000000"/>
          <w:sz w:val="21"/>
          <w:shd w:val="clear" w:color="auto" w:fill="FFFFFF"/>
        </w:rPr>
        <w:t xml:space="preserve">).  Cell type-matched fluorescence minus one (FMO) controls </w:t>
      </w:r>
      <w:proofErr w:type="gramStart"/>
      <w:r w:rsidRPr="00FA69FB">
        <w:rPr>
          <w:color w:val="000000"/>
          <w:sz w:val="21"/>
          <w:shd w:val="clear" w:color="auto" w:fill="FFFFFF"/>
        </w:rPr>
        <w:t>were</w:t>
      </w:r>
      <w:proofErr w:type="gramEnd"/>
      <w:r w:rsidRPr="00FA69FB">
        <w:rPr>
          <w:color w:val="000000"/>
          <w:sz w:val="21"/>
          <w:shd w:val="clear" w:color="auto" w:fill="FFFFFF"/>
        </w:rPr>
        <w:t xml:space="preserve"> used to determine the positivity of each antibody.  </w:t>
      </w: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Pr="0083028D" w:rsidRDefault="00470D4E" w:rsidP="00470D4E">
      <w:pPr>
        <w:pStyle w:val="ListParagraph"/>
        <w:spacing w:line="200" w:lineRule="atLeast"/>
        <w:ind w:left="0"/>
        <w:contextualSpacing/>
        <w:jc w:val="both"/>
        <w:rPr>
          <w:rFonts w:ascii="Calibri" w:hAnsi="Calibri"/>
          <w:sz w:val="18"/>
          <w:szCs w:val="18"/>
        </w:rPr>
      </w:pPr>
      <w:r>
        <w:rPr>
          <w:b/>
          <w:bCs/>
          <w:color w:val="0000FF"/>
          <w:sz w:val="23"/>
          <w:szCs w:val="23"/>
        </w:rPr>
        <w:lastRenderedPageBreak/>
        <w:t>FIGURES</w:t>
      </w:r>
    </w:p>
    <w:p w:rsidR="00470D4E" w:rsidRDefault="00470D4E" w:rsidP="00470D4E">
      <w:pPr>
        <w:spacing w:line="200" w:lineRule="atLeast"/>
        <w:jc w:val="both"/>
        <w:rPr>
          <w:color w:val="000000"/>
          <w:sz w:val="21"/>
          <w:shd w:val="clear" w:color="auto" w:fill="FFFFFF"/>
        </w:rPr>
      </w:pPr>
      <w:r w:rsidRPr="006C715C">
        <w:rPr>
          <w:noProof/>
          <w:color w:val="000000"/>
          <w:sz w:val="21"/>
          <w:shd w:val="clear" w:color="auto" w:fill="FFFFFF"/>
          <w:lang w:eastAsia="zh-TW"/>
        </w:rPr>
        <w:pict>
          <v:shape id="_x0000_s1026" type="#_x0000_t202" style="position:absolute;left:0;text-align:left;margin-left:0;margin-top:4.8pt;width:514.4pt;height:183.3pt;z-index:251660288;mso-position-horizontal:center;mso-position-horizontal-relative:margin;mso-width-relative:margin;mso-height-relative:margin" stroked="f">
            <v:textbox>
              <w:txbxContent>
                <w:p w:rsidR="00470D4E" w:rsidRDefault="00470D4E" w:rsidP="00470D4E">
                  <w:r>
                    <w:rPr>
                      <w:noProof/>
                    </w:rPr>
                    <w:drawing>
                      <wp:inline distT="0" distB="0" distL="0" distR="0">
                        <wp:extent cx="6400800" cy="2282531"/>
                        <wp:effectExtent l="19050" t="0" r="0" b="0"/>
                        <wp:docPr id="5" name="Picture 4" descr="FigureS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r.jpg"/>
                                <pic:cNvPicPr/>
                              </pic:nvPicPr>
                              <pic:blipFill>
                                <a:blip r:embed="rId4"/>
                                <a:stretch>
                                  <a:fillRect/>
                                </a:stretch>
                              </pic:blipFill>
                              <pic:spPr>
                                <a:xfrm>
                                  <a:off x="0" y="0"/>
                                  <a:ext cx="6400800" cy="2282531"/>
                                </a:xfrm>
                                <a:prstGeom prst="rect">
                                  <a:avLst/>
                                </a:prstGeom>
                              </pic:spPr>
                            </pic:pic>
                          </a:graphicData>
                        </a:graphic>
                      </wp:inline>
                    </w:drawing>
                  </w:r>
                </w:p>
              </w:txbxContent>
            </v:textbox>
            <w10:wrap anchorx="margin"/>
          </v:shape>
        </w:pict>
      </w: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r>
        <w:rPr>
          <w:noProof/>
          <w:color w:val="000000"/>
          <w:sz w:val="21"/>
        </w:rPr>
        <w:pict>
          <v:shape id="_x0000_s1027" type="#_x0000_t202" style="position:absolute;left:0;text-align:left;margin-left:-3.6pt;margin-top:206.4pt;width:518.4pt;height:59.4pt;z-index:251661312;mso-position-horizontal-relative:margin;mso-position-vertical-relative:margin;mso-width-relative:margin;mso-height-relative:margin" stroked="f">
            <v:textbox inset="0,0,0,0">
              <w:txbxContent>
                <w:p w:rsidR="00470D4E" w:rsidRPr="00FA69FB" w:rsidRDefault="00470D4E" w:rsidP="00470D4E">
                  <w:pPr>
                    <w:spacing w:line="200" w:lineRule="atLeast"/>
                    <w:jc w:val="both"/>
                    <w:rPr>
                      <w:rFonts w:ascii="Calibri" w:hAnsi="Calibri"/>
                      <w:sz w:val="18"/>
                      <w:szCs w:val="18"/>
                    </w:rPr>
                  </w:pPr>
                  <w:r w:rsidRPr="00C86FF9">
                    <w:rPr>
                      <w:rFonts w:ascii="Calibri" w:hAnsi="Calibri"/>
                      <w:b/>
                      <w:sz w:val="20"/>
                      <w:szCs w:val="20"/>
                    </w:rPr>
                    <w:t xml:space="preserve">Figure </w:t>
                  </w:r>
                  <w:r>
                    <w:rPr>
                      <w:rFonts w:ascii="Calibri" w:hAnsi="Calibri"/>
                      <w:b/>
                      <w:sz w:val="20"/>
                      <w:szCs w:val="20"/>
                    </w:rPr>
                    <w:t>S</w:t>
                  </w:r>
                  <w:r w:rsidRPr="00C86FF9">
                    <w:rPr>
                      <w:rFonts w:ascii="Calibri" w:hAnsi="Calibri"/>
                      <w:b/>
                      <w:sz w:val="20"/>
                      <w:szCs w:val="20"/>
                    </w:rPr>
                    <w:t>1.  The effects of age on infarct size 7 days after 60 minute MCAO.</w:t>
                  </w:r>
                  <w:r w:rsidRPr="00FA69FB">
                    <w:rPr>
                      <w:rFonts w:ascii="Calibri" w:hAnsi="Calibri"/>
                      <w:sz w:val="18"/>
                      <w:szCs w:val="18"/>
                    </w:rPr>
                    <w:t xml:space="preserve">  </w:t>
                  </w:r>
                  <w:r>
                    <w:rPr>
                      <w:rFonts w:ascii="Calibri" w:hAnsi="Calibri"/>
                      <w:sz w:val="18"/>
                      <w:szCs w:val="18"/>
                    </w:rPr>
                    <w:t>(</w:t>
                  </w:r>
                  <w:r w:rsidRPr="00C86FF9">
                    <w:rPr>
                      <w:rFonts w:ascii="Calibri" w:hAnsi="Calibri"/>
                      <w:b/>
                      <w:sz w:val="18"/>
                      <w:szCs w:val="18"/>
                    </w:rPr>
                    <w:t>A</w:t>
                  </w:r>
                  <w:r w:rsidRPr="00FA69FB">
                    <w:rPr>
                      <w:rFonts w:ascii="Calibri" w:hAnsi="Calibri"/>
                      <w:sz w:val="18"/>
                      <w:szCs w:val="18"/>
                    </w:rPr>
                    <w:t xml:space="preserve">) There was a significant effect of age on infarct size as analyzed by 2-way ANOVA (p&lt;0.0001, n=8/group) with aged mice having significantly smaller </w:t>
                  </w:r>
                  <w:proofErr w:type="spellStart"/>
                  <w:r w:rsidRPr="00FA69FB">
                    <w:rPr>
                      <w:rFonts w:ascii="Calibri" w:hAnsi="Calibri"/>
                      <w:sz w:val="18"/>
                      <w:szCs w:val="18"/>
                    </w:rPr>
                    <w:t>striatal</w:t>
                  </w:r>
                  <w:proofErr w:type="spellEnd"/>
                  <w:r w:rsidRPr="00FA69FB">
                    <w:rPr>
                      <w:rFonts w:ascii="Calibri" w:hAnsi="Calibri"/>
                      <w:sz w:val="18"/>
                      <w:szCs w:val="18"/>
                    </w:rPr>
                    <w:t xml:space="preserve"> (p&lt;0.05) and total (p&lt;0.05) infarcts compared to young following post-hoc </w:t>
                  </w:r>
                  <w:proofErr w:type="spellStart"/>
                  <w:r w:rsidRPr="00FA69FB">
                    <w:rPr>
                      <w:rFonts w:ascii="Calibri" w:hAnsi="Calibri"/>
                      <w:sz w:val="18"/>
                      <w:szCs w:val="18"/>
                    </w:rPr>
                    <w:t>Bonferroni</w:t>
                  </w:r>
                  <w:proofErr w:type="spellEnd"/>
                  <w:r w:rsidRPr="00FA69FB">
                    <w:rPr>
                      <w:rFonts w:ascii="Calibri" w:hAnsi="Calibri"/>
                      <w:sz w:val="18"/>
                      <w:szCs w:val="18"/>
                    </w:rPr>
                    <w:t xml:space="preserve"> corrections for multiple comparisons. </w:t>
                  </w:r>
                  <w:r>
                    <w:rPr>
                      <w:rFonts w:ascii="Calibri" w:hAnsi="Calibri"/>
                      <w:sz w:val="18"/>
                      <w:szCs w:val="18"/>
                    </w:rPr>
                    <w:t>(</w:t>
                  </w:r>
                  <w:r w:rsidRPr="00C86FF9">
                    <w:rPr>
                      <w:rFonts w:ascii="Calibri" w:hAnsi="Calibri"/>
                      <w:b/>
                      <w:sz w:val="18"/>
                      <w:szCs w:val="18"/>
                    </w:rPr>
                    <w:t>B</w:t>
                  </w:r>
                  <w:r w:rsidRPr="00FA69FB">
                    <w:rPr>
                      <w:rFonts w:ascii="Calibri" w:hAnsi="Calibri"/>
                      <w:sz w:val="18"/>
                      <w:szCs w:val="18"/>
                    </w:rPr>
                    <w:t xml:space="preserve">) Laser Doppler </w:t>
                  </w:r>
                  <w:proofErr w:type="spellStart"/>
                  <w:r w:rsidRPr="00FA69FB">
                    <w:rPr>
                      <w:rFonts w:ascii="Calibri" w:hAnsi="Calibri"/>
                      <w:sz w:val="18"/>
                      <w:szCs w:val="18"/>
                    </w:rPr>
                    <w:t>flowmetry</w:t>
                  </w:r>
                  <w:proofErr w:type="spellEnd"/>
                  <w:r w:rsidRPr="00FA69FB">
                    <w:rPr>
                      <w:rFonts w:ascii="Calibri" w:hAnsi="Calibri"/>
                      <w:sz w:val="18"/>
                      <w:szCs w:val="18"/>
                    </w:rPr>
                    <w:t xml:space="preserve"> of the same cohort of mice revealed no significant differences in cerebral blood flow reduction during MCAO between young and aged mice as measured by 2-way ANOVA (p&gt;0.05, </w:t>
                  </w:r>
                  <w:r w:rsidRPr="00C86FF9">
                    <w:rPr>
                      <w:rFonts w:ascii="Calibri" w:hAnsi="Calibri"/>
                      <w:spacing w:val="-2"/>
                      <w:sz w:val="18"/>
                      <w:szCs w:val="18"/>
                    </w:rPr>
                    <w:t xml:space="preserve">n=8/group). Values are expressed as mean ± SEM. Abbreviations: LDF, laser Doppler </w:t>
                  </w:r>
                  <w:proofErr w:type="spellStart"/>
                  <w:r w:rsidRPr="00C86FF9">
                    <w:rPr>
                      <w:rFonts w:ascii="Calibri" w:hAnsi="Calibri"/>
                      <w:spacing w:val="-2"/>
                      <w:sz w:val="18"/>
                      <w:szCs w:val="18"/>
                    </w:rPr>
                    <w:t>flowmetry</w:t>
                  </w:r>
                  <w:proofErr w:type="spellEnd"/>
                  <w:r w:rsidRPr="00C86FF9">
                    <w:rPr>
                      <w:rFonts w:ascii="Calibri" w:hAnsi="Calibri"/>
                      <w:spacing w:val="-2"/>
                      <w:sz w:val="18"/>
                      <w:szCs w:val="18"/>
                    </w:rPr>
                    <w:t xml:space="preserve">; </w:t>
                  </w:r>
                  <w:proofErr w:type="spellStart"/>
                  <w:r w:rsidRPr="00C86FF9">
                    <w:rPr>
                      <w:rFonts w:ascii="Calibri" w:hAnsi="Calibri"/>
                      <w:spacing w:val="-2"/>
                      <w:sz w:val="18"/>
                      <w:szCs w:val="18"/>
                    </w:rPr>
                    <w:t>a.u</w:t>
                  </w:r>
                  <w:proofErr w:type="spellEnd"/>
                  <w:r w:rsidRPr="00C86FF9">
                    <w:rPr>
                      <w:rFonts w:ascii="Calibri" w:hAnsi="Calibri"/>
                      <w:spacing w:val="-2"/>
                      <w:sz w:val="18"/>
                      <w:szCs w:val="18"/>
                    </w:rPr>
                    <w:t xml:space="preserve">., arbitrary units. </w:t>
                  </w:r>
                  <w:proofErr w:type="gramStart"/>
                  <w:r w:rsidRPr="00C86FF9">
                    <w:rPr>
                      <w:rFonts w:ascii="Calibri" w:hAnsi="Calibri"/>
                      <w:spacing w:val="-2"/>
                      <w:sz w:val="18"/>
                      <w:szCs w:val="18"/>
                    </w:rPr>
                    <w:t>*, p≤0.05.</w:t>
                  </w:r>
                  <w:proofErr w:type="gramEnd"/>
                </w:p>
                <w:p w:rsidR="00470D4E" w:rsidRDefault="00470D4E" w:rsidP="00470D4E"/>
              </w:txbxContent>
            </v:textbox>
            <w10:wrap anchorx="margin" anchory="margin"/>
          </v:shape>
        </w:pict>
      </w: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r w:rsidRPr="006C715C">
        <w:rPr>
          <w:noProof/>
          <w:color w:val="000000"/>
          <w:sz w:val="21"/>
          <w:shd w:val="clear" w:color="auto" w:fill="FFFFFF"/>
          <w:lang w:eastAsia="zh-TW"/>
        </w:rPr>
        <w:pict>
          <v:shape id="_x0000_s1031" type="#_x0000_t202" style="position:absolute;left:0;text-align:left;margin-left:-8pt;margin-top:8.65pt;width:527.2pt;height:311.05pt;z-index:251665408;mso-position-horizontal-relative:margin;mso-width-relative:margin;mso-height-relative:margin" stroked="f">
            <v:textbox>
              <w:txbxContent>
                <w:p w:rsidR="00470D4E" w:rsidRDefault="00470D4E" w:rsidP="00470D4E">
                  <w:r>
                    <w:rPr>
                      <w:noProof/>
                    </w:rPr>
                    <w:drawing>
                      <wp:inline distT="0" distB="0" distL="0" distR="0">
                        <wp:extent cx="6492240" cy="3808502"/>
                        <wp:effectExtent l="19050" t="0" r="3810" b="0"/>
                        <wp:docPr id="14" name="Picture 13" descr="FigureS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r.jpg"/>
                                <pic:cNvPicPr/>
                              </pic:nvPicPr>
                              <pic:blipFill>
                                <a:blip r:embed="rId5"/>
                                <a:stretch>
                                  <a:fillRect/>
                                </a:stretch>
                              </pic:blipFill>
                              <pic:spPr>
                                <a:xfrm>
                                  <a:off x="0" y="0"/>
                                  <a:ext cx="6492240" cy="3808502"/>
                                </a:xfrm>
                                <a:prstGeom prst="rect">
                                  <a:avLst/>
                                </a:prstGeom>
                              </pic:spPr>
                            </pic:pic>
                          </a:graphicData>
                        </a:graphic>
                      </wp:inline>
                    </w:drawing>
                  </w:r>
                </w:p>
              </w:txbxContent>
            </v:textbox>
            <w10:wrap anchorx="margin"/>
          </v:shape>
        </w:pict>
      </w: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r>
        <w:rPr>
          <w:noProof/>
          <w:color w:val="000000"/>
          <w:sz w:val="21"/>
        </w:rPr>
        <w:pict>
          <v:shape id="_x0000_s1028" type="#_x0000_t202" style="position:absolute;left:0;text-align:left;margin-left:28.8pt;margin-top:604.55pt;width:453.6pt;height:74pt;z-index:251662336;mso-position-horizontal-relative:margin;mso-position-vertical-relative:margin;mso-width-relative:margin;mso-height-relative:margin" stroked="f">
            <v:textbox inset="0,0,0,0">
              <w:txbxContent>
                <w:p w:rsidR="00470D4E" w:rsidRPr="00FA69FB" w:rsidRDefault="00470D4E" w:rsidP="00470D4E">
                  <w:pPr>
                    <w:spacing w:line="200" w:lineRule="atLeast"/>
                    <w:jc w:val="both"/>
                    <w:rPr>
                      <w:rFonts w:ascii="Calibri" w:hAnsi="Calibri"/>
                      <w:sz w:val="18"/>
                      <w:szCs w:val="18"/>
                    </w:rPr>
                  </w:pPr>
                  <w:r w:rsidRPr="00C86FF9">
                    <w:rPr>
                      <w:rFonts w:ascii="Calibri" w:hAnsi="Calibri"/>
                      <w:b/>
                      <w:sz w:val="20"/>
                      <w:szCs w:val="20"/>
                    </w:rPr>
                    <w:t xml:space="preserve">Figure S2.  Brain flow </w:t>
                  </w:r>
                  <w:proofErr w:type="spellStart"/>
                  <w:r w:rsidRPr="00C86FF9">
                    <w:rPr>
                      <w:rFonts w:ascii="Calibri" w:hAnsi="Calibri"/>
                      <w:b/>
                      <w:sz w:val="20"/>
                      <w:szCs w:val="20"/>
                    </w:rPr>
                    <w:t>cytometry</w:t>
                  </w:r>
                  <w:proofErr w:type="spellEnd"/>
                  <w:r w:rsidRPr="00C86FF9">
                    <w:rPr>
                      <w:rFonts w:ascii="Calibri" w:hAnsi="Calibri"/>
                      <w:b/>
                      <w:sz w:val="20"/>
                      <w:szCs w:val="20"/>
                    </w:rPr>
                    <w:t xml:space="preserve"> gating strategy using representative flow plots of young and aged mouse brains 72 hours after 90 minute MCAO.</w:t>
                  </w:r>
                  <w:r w:rsidRPr="00FA69FB">
                    <w:rPr>
                      <w:rFonts w:ascii="Calibri" w:hAnsi="Calibri"/>
                      <w:sz w:val="18"/>
                      <w:szCs w:val="18"/>
                    </w:rPr>
                    <w:t xml:space="preserve"> </w:t>
                  </w:r>
                  <w:r>
                    <w:rPr>
                      <w:rFonts w:ascii="Calibri" w:hAnsi="Calibri"/>
                      <w:sz w:val="18"/>
                      <w:szCs w:val="18"/>
                    </w:rPr>
                    <w:t>(</w:t>
                  </w:r>
                  <w:r w:rsidRPr="00EC6555">
                    <w:rPr>
                      <w:rFonts w:ascii="Calibri" w:hAnsi="Calibri"/>
                      <w:b/>
                      <w:sz w:val="18"/>
                      <w:szCs w:val="18"/>
                    </w:rPr>
                    <w:t>A</w:t>
                  </w:r>
                  <w:r w:rsidRPr="00FA69FB">
                    <w:rPr>
                      <w:rFonts w:ascii="Calibri" w:hAnsi="Calibri"/>
                      <w:sz w:val="18"/>
                      <w:szCs w:val="18"/>
                    </w:rPr>
                    <w:t>) Brain immune cells were gated on CD45 and CD11b expression in order to differentiate resident microglia (CD45</w:t>
                  </w:r>
                  <w:r w:rsidRPr="00FA69FB">
                    <w:rPr>
                      <w:rFonts w:ascii="Calibri" w:hAnsi="Calibri"/>
                      <w:sz w:val="18"/>
                      <w:szCs w:val="18"/>
                      <w:vertAlign w:val="superscript"/>
                    </w:rPr>
                    <w:t>int</w:t>
                  </w:r>
                  <w:r w:rsidRPr="00FA69FB">
                    <w:rPr>
                      <w:rFonts w:ascii="Calibri" w:hAnsi="Calibri"/>
                      <w:sz w:val="18"/>
                      <w:szCs w:val="18"/>
                    </w:rPr>
                    <w:t>CD11b</w:t>
                  </w:r>
                  <w:r w:rsidRPr="00FA69FB">
                    <w:rPr>
                      <w:rFonts w:ascii="Calibri" w:hAnsi="Calibri"/>
                      <w:sz w:val="18"/>
                      <w:szCs w:val="18"/>
                      <w:vertAlign w:val="superscript"/>
                    </w:rPr>
                    <w:t>+</w:t>
                  </w:r>
                  <w:r w:rsidRPr="00FA69FB">
                    <w:rPr>
                      <w:rFonts w:ascii="Calibri" w:hAnsi="Calibri"/>
                      <w:sz w:val="18"/>
                      <w:szCs w:val="18"/>
                    </w:rPr>
                    <w:t>), infiltrating myeloid cells (CD45</w:t>
                  </w:r>
                  <w:r w:rsidRPr="00FA69FB">
                    <w:rPr>
                      <w:rFonts w:ascii="Calibri" w:hAnsi="Calibri"/>
                      <w:sz w:val="18"/>
                      <w:szCs w:val="18"/>
                      <w:vertAlign w:val="superscript"/>
                    </w:rPr>
                    <w:t>hi</w:t>
                  </w:r>
                  <w:r w:rsidRPr="00FA69FB">
                    <w:rPr>
                      <w:rFonts w:ascii="Calibri" w:hAnsi="Calibri"/>
                      <w:sz w:val="18"/>
                      <w:szCs w:val="18"/>
                    </w:rPr>
                    <w:t>CD11b</w:t>
                  </w:r>
                  <w:r w:rsidRPr="00FA69FB">
                    <w:rPr>
                      <w:rFonts w:ascii="Calibri" w:hAnsi="Calibri"/>
                      <w:sz w:val="18"/>
                      <w:szCs w:val="18"/>
                      <w:vertAlign w:val="superscript"/>
                    </w:rPr>
                    <w:t>+</w:t>
                  </w:r>
                  <w:r w:rsidRPr="00FA69FB">
                    <w:rPr>
                      <w:rFonts w:ascii="Calibri" w:hAnsi="Calibri"/>
                      <w:sz w:val="18"/>
                      <w:szCs w:val="18"/>
                    </w:rPr>
                    <w:t>) and infiltrating lymphocytes (CD45</w:t>
                  </w:r>
                  <w:r w:rsidRPr="00FA69FB">
                    <w:rPr>
                      <w:rFonts w:ascii="Calibri" w:hAnsi="Calibri"/>
                      <w:sz w:val="18"/>
                      <w:szCs w:val="18"/>
                      <w:vertAlign w:val="superscript"/>
                    </w:rPr>
                    <w:t>hi</w:t>
                  </w:r>
                  <w:r w:rsidRPr="00FA69FB">
                    <w:rPr>
                      <w:rFonts w:ascii="Calibri" w:hAnsi="Calibri"/>
                      <w:sz w:val="18"/>
                      <w:szCs w:val="18"/>
                    </w:rPr>
                    <w:t>CD11b</w:t>
                  </w:r>
                  <w:r w:rsidRPr="00FA69FB">
                    <w:rPr>
                      <w:rFonts w:ascii="Calibri" w:hAnsi="Calibri"/>
                      <w:sz w:val="18"/>
                      <w:szCs w:val="18"/>
                      <w:vertAlign w:val="superscript"/>
                    </w:rPr>
                    <w:t>-</w:t>
                  </w:r>
                  <w:r w:rsidRPr="00FA69FB">
                    <w:rPr>
                      <w:rFonts w:ascii="Calibri" w:hAnsi="Calibri"/>
                      <w:sz w:val="18"/>
                      <w:szCs w:val="18"/>
                    </w:rPr>
                    <w:t xml:space="preserve">).  </w:t>
                  </w:r>
                  <w:r>
                    <w:rPr>
                      <w:rFonts w:ascii="Calibri" w:hAnsi="Calibri"/>
                      <w:sz w:val="18"/>
                      <w:szCs w:val="18"/>
                    </w:rPr>
                    <w:t>(</w:t>
                  </w:r>
                  <w:r w:rsidRPr="00EC6555">
                    <w:rPr>
                      <w:rFonts w:ascii="Calibri" w:hAnsi="Calibri"/>
                      <w:b/>
                      <w:sz w:val="18"/>
                      <w:szCs w:val="18"/>
                    </w:rPr>
                    <w:t>B</w:t>
                  </w:r>
                  <w:r w:rsidRPr="00FA69FB">
                    <w:rPr>
                      <w:rFonts w:ascii="Calibri" w:hAnsi="Calibri"/>
                      <w:sz w:val="18"/>
                      <w:szCs w:val="18"/>
                    </w:rPr>
                    <w:t>) Infiltrating lymphocytes from (</w:t>
                  </w:r>
                  <w:r w:rsidRPr="00EC6555">
                    <w:rPr>
                      <w:rFonts w:ascii="Calibri" w:hAnsi="Calibri"/>
                      <w:b/>
                      <w:sz w:val="18"/>
                      <w:szCs w:val="18"/>
                    </w:rPr>
                    <w:t>A</w:t>
                  </w:r>
                  <w:r w:rsidRPr="00FA69FB">
                    <w:rPr>
                      <w:rFonts w:ascii="Calibri" w:hAnsi="Calibri"/>
                      <w:sz w:val="18"/>
                      <w:szCs w:val="18"/>
                    </w:rPr>
                    <w:t>) were then gated on MHCII and CD3 in order to identify T cells (CD45</w:t>
                  </w:r>
                  <w:r w:rsidRPr="00FA69FB">
                    <w:rPr>
                      <w:rFonts w:ascii="Calibri" w:hAnsi="Calibri"/>
                      <w:sz w:val="18"/>
                      <w:szCs w:val="18"/>
                      <w:vertAlign w:val="superscript"/>
                    </w:rPr>
                    <w:t>hi</w:t>
                  </w:r>
                  <w:r w:rsidRPr="00FA69FB">
                    <w:rPr>
                      <w:rFonts w:ascii="Calibri" w:hAnsi="Calibri"/>
                      <w:sz w:val="18"/>
                      <w:szCs w:val="18"/>
                    </w:rPr>
                    <w:t>CD11b</w:t>
                  </w:r>
                  <w:r w:rsidRPr="00FA69FB">
                    <w:rPr>
                      <w:rFonts w:ascii="Calibri" w:hAnsi="Calibri"/>
                      <w:sz w:val="18"/>
                      <w:szCs w:val="18"/>
                      <w:vertAlign w:val="superscript"/>
                    </w:rPr>
                    <w:t>-</w:t>
                  </w:r>
                  <w:r w:rsidRPr="00FA69FB">
                    <w:rPr>
                      <w:rFonts w:ascii="Calibri" w:hAnsi="Calibri"/>
                      <w:sz w:val="18"/>
                      <w:szCs w:val="18"/>
                    </w:rPr>
                    <w:t>CD3</w:t>
                  </w:r>
                  <w:r w:rsidRPr="00FA69FB">
                    <w:rPr>
                      <w:rFonts w:ascii="Calibri" w:hAnsi="Calibri"/>
                      <w:sz w:val="18"/>
                      <w:szCs w:val="18"/>
                      <w:vertAlign w:val="superscript"/>
                    </w:rPr>
                    <w:t>+</w:t>
                  </w:r>
                  <w:r w:rsidRPr="00FA69FB">
                    <w:rPr>
                      <w:rFonts w:ascii="Calibri" w:hAnsi="Calibri"/>
                      <w:sz w:val="18"/>
                      <w:szCs w:val="18"/>
                    </w:rPr>
                    <w:t xml:space="preserve">).  </w:t>
                  </w:r>
                  <w:r>
                    <w:rPr>
                      <w:rFonts w:ascii="Calibri" w:hAnsi="Calibri"/>
                      <w:sz w:val="18"/>
                      <w:szCs w:val="18"/>
                    </w:rPr>
                    <w:t>(</w:t>
                  </w:r>
                  <w:r w:rsidRPr="00EC6555">
                    <w:rPr>
                      <w:rFonts w:ascii="Calibri" w:hAnsi="Calibri"/>
                      <w:b/>
                      <w:sz w:val="18"/>
                      <w:szCs w:val="18"/>
                    </w:rPr>
                    <w:t>C</w:t>
                  </w:r>
                  <w:r w:rsidRPr="00FA69FB">
                    <w:rPr>
                      <w:rFonts w:ascii="Calibri" w:hAnsi="Calibri"/>
                      <w:sz w:val="18"/>
                      <w:szCs w:val="18"/>
                    </w:rPr>
                    <w:t>) Infiltrating T cells from (</w:t>
                  </w:r>
                  <w:r w:rsidRPr="00EC6555">
                    <w:rPr>
                      <w:rFonts w:ascii="Calibri" w:hAnsi="Calibri"/>
                      <w:b/>
                      <w:sz w:val="18"/>
                      <w:szCs w:val="18"/>
                    </w:rPr>
                    <w:t>B</w:t>
                  </w:r>
                  <w:r w:rsidRPr="00FA69FB">
                    <w:rPr>
                      <w:rFonts w:ascii="Calibri" w:hAnsi="Calibri"/>
                      <w:sz w:val="18"/>
                      <w:szCs w:val="18"/>
                    </w:rPr>
                    <w:t xml:space="preserve">) were then gated on side scatter (granularity) and </w:t>
                  </w:r>
                  <w:proofErr w:type="spellStart"/>
                  <w:r w:rsidRPr="00FA69FB">
                    <w:rPr>
                      <w:rFonts w:ascii="Calibri" w:hAnsi="Calibri"/>
                      <w:sz w:val="18"/>
                      <w:szCs w:val="18"/>
                    </w:rPr>
                    <w:t>BrdU</w:t>
                  </w:r>
                  <w:proofErr w:type="spellEnd"/>
                  <w:r w:rsidRPr="00FA69FB">
                    <w:rPr>
                      <w:rFonts w:ascii="Calibri" w:hAnsi="Calibri"/>
                      <w:sz w:val="18"/>
                      <w:szCs w:val="18"/>
                    </w:rPr>
                    <w:t xml:space="preserve"> in order to identify </w:t>
                  </w:r>
                  <w:proofErr w:type="spellStart"/>
                  <w:r w:rsidRPr="00FA69FB">
                    <w:rPr>
                      <w:rFonts w:ascii="Calibri" w:hAnsi="Calibri"/>
                      <w:sz w:val="18"/>
                      <w:szCs w:val="18"/>
                    </w:rPr>
                    <w:t>BrdU</w:t>
                  </w:r>
                  <w:proofErr w:type="spellEnd"/>
                  <w:r w:rsidRPr="00FA69FB">
                    <w:rPr>
                      <w:rFonts w:ascii="Calibri" w:hAnsi="Calibri"/>
                      <w:sz w:val="18"/>
                      <w:szCs w:val="18"/>
                    </w:rPr>
                    <w:t>+ T cells, which could then be compared between young and aged mice.  Abbreviations: SSC-A, side scatter.</w:t>
                  </w:r>
                </w:p>
                <w:p w:rsidR="00470D4E" w:rsidRDefault="00470D4E" w:rsidP="00470D4E"/>
              </w:txbxContent>
            </v:textbox>
            <w10:wrap anchorx="margin" anchory="margin"/>
          </v:shape>
        </w:pict>
      </w: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r>
        <w:rPr>
          <w:noProof/>
          <w:color w:val="000000"/>
          <w:sz w:val="21"/>
        </w:rPr>
        <w:pict>
          <v:shape id="_x0000_s1033" type="#_x0000_t202" style="position:absolute;left:0;text-align:left;margin-left:0;margin-top:683.9pt;width:511.05pt;height:54pt;z-index:251667456;visibility:visible;mso-position-horizontal:center;mso-position-horizontal-relative:margin;mso-position-vertical-relative:margin" filled="f" stroked="f">
            <v:textbox inset="0,0,0,0">
              <w:txbxContent>
                <w:p w:rsidR="00470D4E" w:rsidRDefault="00470D4E" w:rsidP="00470D4E">
                  <w:pPr>
                    <w:pBdr>
                      <w:bottom w:val="single" w:sz="12" w:space="0" w:color="auto"/>
                    </w:pBdr>
                    <w:rPr>
                      <w:rFonts w:ascii="Calibri" w:hAnsi="Calibri" w:cs="Calibri"/>
                    </w:rPr>
                  </w:pPr>
                </w:p>
                <w:p w:rsidR="00470D4E" w:rsidRDefault="00470D4E" w:rsidP="00470D4E">
                  <w:pPr>
                    <w:spacing w:line="40" w:lineRule="exact"/>
                    <w:rPr>
                      <w:rFonts w:ascii="Calibri" w:hAnsi="Calibri" w:cs="Calibri"/>
                    </w:rPr>
                  </w:pPr>
                </w:p>
                <w:p w:rsidR="00470D4E" w:rsidRDefault="00470D4E" w:rsidP="00470D4E">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2                                           AGING, </w:t>
                  </w:r>
                  <w:r>
                    <w:rPr>
                      <w:rFonts w:ascii="Calibri" w:hAnsi="Calibri" w:cs="Calibri"/>
                      <w:sz w:val="20"/>
                      <w:szCs w:val="20"/>
                    </w:rPr>
                    <w:t>May 2016, Vol. 8 No.5</w:t>
                  </w:r>
                </w:p>
              </w:txbxContent>
            </v:textbox>
            <w10:wrap anchorx="margin" anchory="margin"/>
          </v:shape>
        </w:pict>
      </w: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r>
        <w:rPr>
          <w:noProof/>
          <w:color w:val="000000"/>
          <w:sz w:val="21"/>
        </w:rPr>
        <w:lastRenderedPageBreak/>
        <w:pict>
          <v:shape id="_x0000_s1029" type="#_x0000_t202" style="position:absolute;left:0;text-align:left;margin-left:0;margin-top:-15.2pt;width:483.3pt;height:163.9pt;z-index:251663360;mso-position-horizontal:center;mso-position-horizontal-relative:margin;mso-position-vertical-relative:margin;mso-width-relative:margin;mso-height-relative:margin" stroked="f">
            <v:textbox>
              <w:txbxContent>
                <w:p w:rsidR="00470D4E" w:rsidRDefault="00470D4E" w:rsidP="00470D4E">
                  <w:r>
                    <w:rPr>
                      <w:noProof/>
                    </w:rPr>
                    <w:drawing>
                      <wp:inline distT="0" distB="0" distL="0" distR="0">
                        <wp:extent cx="6035040" cy="1856677"/>
                        <wp:effectExtent l="19050" t="0" r="3810" b="0"/>
                        <wp:docPr id="1" name="Picture 0" descr="FigureS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3f.jpg"/>
                                <pic:cNvPicPr/>
                              </pic:nvPicPr>
                              <pic:blipFill>
                                <a:blip r:embed="rId6"/>
                                <a:stretch>
                                  <a:fillRect/>
                                </a:stretch>
                              </pic:blipFill>
                              <pic:spPr>
                                <a:xfrm>
                                  <a:off x="0" y="0"/>
                                  <a:ext cx="6035040" cy="1856677"/>
                                </a:xfrm>
                                <a:prstGeom prst="rect">
                                  <a:avLst/>
                                </a:prstGeom>
                              </pic:spPr>
                            </pic:pic>
                          </a:graphicData>
                        </a:graphic>
                      </wp:inline>
                    </w:drawing>
                  </w:r>
                </w:p>
              </w:txbxContent>
            </v:textbox>
            <w10:wrap anchorx="margin" anchory="margin"/>
          </v:shape>
        </w:pict>
      </w: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color w:val="000000"/>
          <w:sz w:val="21"/>
          <w:shd w:val="clear" w:color="auto" w:fill="FFFFFF"/>
        </w:rPr>
      </w:pPr>
    </w:p>
    <w:p w:rsidR="00470D4E" w:rsidRPr="00FA69FB" w:rsidRDefault="00470D4E" w:rsidP="00470D4E">
      <w:pPr>
        <w:spacing w:line="200" w:lineRule="atLeast"/>
        <w:jc w:val="both"/>
        <w:rPr>
          <w:color w:val="000000"/>
          <w:sz w:val="21"/>
          <w:shd w:val="clear" w:color="auto" w:fill="FFFFFF"/>
        </w:rPr>
      </w:pPr>
    </w:p>
    <w:p w:rsidR="00470D4E" w:rsidRDefault="00470D4E" w:rsidP="00470D4E">
      <w:pPr>
        <w:spacing w:line="200" w:lineRule="atLeast"/>
        <w:jc w:val="both"/>
        <w:rPr>
          <w:rFonts w:ascii="Calibri" w:hAnsi="Calibri"/>
          <w:sz w:val="18"/>
          <w:szCs w:val="18"/>
        </w:rPr>
      </w:pPr>
    </w:p>
    <w:p w:rsidR="00470D4E" w:rsidRDefault="00470D4E" w:rsidP="00470D4E">
      <w:pPr>
        <w:spacing w:line="200" w:lineRule="atLeast"/>
        <w:jc w:val="both"/>
        <w:rPr>
          <w:rFonts w:ascii="Calibri" w:hAnsi="Calibri"/>
          <w:sz w:val="18"/>
          <w:szCs w:val="18"/>
        </w:rPr>
      </w:pPr>
      <w:r>
        <w:rPr>
          <w:rFonts w:ascii="Calibri" w:hAnsi="Calibri"/>
          <w:noProof/>
          <w:sz w:val="18"/>
          <w:szCs w:val="18"/>
        </w:rPr>
        <w:pict>
          <v:shape id="_x0000_s1030" type="#_x0000_t202" style="position:absolute;left:0;text-align:left;margin-left:28.8pt;margin-top:187.8pt;width:453.6pt;height:61.05pt;z-index:251664384;mso-position-horizontal-relative:margin;mso-position-vertical-relative:margin;mso-width-relative:margin;mso-height-relative:margin" stroked="f">
            <v:textbox inset="0,0,0,0">
              <w:txbxContent>
                <w:p w:rsidR="00470D4E" w:rsidRPr="008F4B1C" w:rsidRDefault="00470D4E" w:rsidP="00470D4E">
                  <w:pPr>
                    <w:spacing w:line="200" w:lineRule="atLeast"/>
                    <w:jc w:val="both"/>
                    <w:rPr>
                      <w:rFonts w:ascii="Calibri" w:hAnsi="Calibri"/>
                      <w:sz w:val="18"/>
                      <w:szCs w:val="18"/>
                    </w:rPr>
                  </w:pPr>
                  <w:r w:rsidRPr="00EC6555">
                    <w:rPr>
                      <w:rFonts w:ascii="Calibri" w:hAnsi="Calibri"/>
                      <w:b/>
                      <w:sz w:val="20"/>
                      <w:szCs w:val="20"/>
                    </w:rPr>
                    <w:t xml:space="preserve">Figure S3. </w:t>
                  </w:r>
                  <w:proofErr w:type="gramStart"/>
                  <w:r w:rsidRPr="00EC6555">
                    <w:rPr>
                      <w:rFonts w:ascii="Calibri" w:hAnsi="Calibri"/>
                      <w:b/>
                      <w:sz w:val="20"/>
                      <w:szCs w:val="20"/>
                    </w:rPr>
                    <w:t>Identification of blood leukocyte populations in aged mice after stroke.</w:t>
                  </w:r>
                  <w:proofErr w:type="gramEnd"/>
                  <w:r w:rsidRPr="008F4B1C">
                    <w:rPr>
                      <w:rFonts w:ascii="Calibri" w:hAnsi="Calibri"/>
                      <w:sz w:val="18"/>
                      <w:szCs w:val="18"/>
                    </w:rPr>
                    <w:t xml:space="preserve">  </w:t>
                  </w:r>
                  <w:r>
                    <w:rPr>
                      <w:rFonts w:ascii="Calibri" w:hAnsi="Calibri"/>
                      <w:sz w:val="18"/>
                      <w:szCs w:val="18"/>
                    </w:rPr>
                    <w:t>(</w:t>
                  </w:r>
                  <w:r w:rsidRPr="00EC6555">
                    <w:rPr>
                      <w:rFonts w:ascii="Calibri" w:hAnsi="Calibri"/>
                      <w:b/>
                      <w:sz w:val="18"/>
                      <w:szCs w:val="18"/>
                    </w:rPr>
                    <w:t>A</w:t>
                  </w:r>
                  <w:r w:rsidRPr="008F4B1C">
                    <w:rPr>
                      <w:rFonts w:ascii="Calibri" w:hAnsi="Calibri"/>
                      <w:sz w:val="18"/>
                      <w:szCs w:val="18"/>
                    </w:rPr>
                    <w:t>) Blood leukocytes from aged stroke mice were gated on CD45 and CD11b expression in order to differentiate myeloid cells (CD45</w:t>
                  </w:r>
                  <w:r w:rsidRPr="008F4B1C">
                    <w:rPr>
                      <w:rFonts w:ascii="Calibri" w:hAnsi="Calibri"/>
                      <w:sz w:val="18"/>
                      <w:szCs w:val="18"/>
                      <w:vertAlign w:val="superscript"/>
                    </w:rPr>
                    <w:t>hi</w:t>
                  </w:r>
                  <w:r w:rsidRPr="008F4B1C">
                    <w:rPr>
                      <w:rFonts w:ascii="Calibri" w:hAnsi="Calibri"/>
                      <w:sz w:val="18"/>
                      <w:szCs w:val="18"/>
                    </w:rPr>
                    <w:t>CD11b+ from lymphocytes (CD45</w:t>
                  </w:r>
                  <w:r w:rsidRPr="008F4B1C">
                    <w:rPr>
                      <w:rFonts w:ascii="Calibri" w:hAnsi="Calibri"/>
                      <w:sz w:val="18"/>
                      <w:szCs w:val="18"/>
                      <w:vertAlign w:val="superscript"/>
                    </w:rPr>
                    <w:t>hi</w:t>
                  </w:r>
                  <w:r w:rsidRPr="008F4B1C">
                    <w:rPr>
                      <w:rFonts w:ascii="Calibri" w:hAnsi="Calibri"/>
                      <w:sz w:val="18"/>
                      <w:szCs w:val="18"/>
                    </w:rPr>
                    <w:t>CD11b</w:t>
                  </w:r>
                  <w:r w:rsidRPr="008F4B1C">
                    <w:rPr>
                      <w:rFonts w:ascii="Calibri" w:hAnsi="Calibri"/>
                      <w:sz w:val="18"/>
                      <w:szCs w:val="18"/>
                      <w:vertAlign w:val="superscript"/>
                    </w:rPr>
                    <w:t>-</w:t>
                  </w:r>
                  <w:r w:rsidRPr="008F4B1C">
                    <w:rPr>
                      <w:rFonts w:ascii="Calibri" w:hAnsi="Calibri"/>
                      <w:sz w:val="18"/>
                      <w:szCs w:val="18"/>
                    </w:rPr>
                    <w:t xml:space="preserve">).  </w:t>
                  </w:r>
                  <w:r>
                    <w:rPr>
                      <w:rFonts w:ascii="Calibri" w:hAnsi="Calibri"/>
                      <w:sz w:val="18"/>
                      <w:szCs w:val="18"/>
                    </w:rPr>
                    <w:t>(</w:t>
                  </w:r>
                  <w:r w:rsidRPr="00EC6555">
                    <w:rPr>
                      <w:rFonts w:ascii="Calibri" w:hAnsi="Calibri"/>
                      <w:b/>
                      <w:sz w:val="18"/>
                      <w:szCs w:val="18"/>
                    </w:rPr>
                    <w:t>B</w:t>
                  </w:r>
                  <w:r w:rsidRPr="008F4B1C">
                    <w:rPr>
                      <w:rFonts w:ascii="Calibri" w:hAnsi="Calibri"/>
                      <w:sz w:val="18"/>
                      <w:szCs w:val="18"/>
                    </w:rPr>
                    <w:t>) Lymphocytes from (A) were then gated on MHCII and CD19 in order to identify B cells (CD45</w:t>
                  </w:r>
                  <w:r w:rsidRPr="008F4B1C">
                    <w:rPr>
                      <w:rFonts w:ascii="Calibri" w:hAnsi="Calibri"/>
                      <w:sz w:val="18"/>
                      <w:szCs w:val="18"/>
                      <w:vertAlign w:val="superscript"/>
                    </w:rPr>
                    <w:t>hi</w:t>
                  </w:r>
                  <w:r w:rsidRPr="008F4B1C">
                    <w:rPr>
                      <w:rFonts w:ascii="Calibri" w:hAnsi="Calibri"/>
                      <w:sz w:val="18"/>
                      <w:szCs w:val="18"/>
                    </w:rPr>
                    <w:t>CD11b</w:t>
                  </w:r>
                  <w:r w:rsidRPr="008F4B1C">
                    <w:rPr>
                      <w:rFonts w:ascii="Calibri" w:hAnsi="Calibri"/>
                      <w:sz w:val="18"/>
                      <w:szCs w:val="18"/>
                      <w:vertAlign w:val="superscript"/>
                    </w:rPr>
                    <w:t>-</w:t>
                  </w:r>
                  <w:r w:rsidRPr="008F4B1C">
                    <w:rPr>
                      <w:rFonts w:ascii="Calibri" w:hAnsi="Calibri"/>
                      <w:sz w:val="18"/>
                      <w:szCs w:val="18"/>
                    </w:rPr>
                    <w:t>CD19+MHCII+) and T cells (CD45</w:t>
                  </w:r>
                  <w:r w:rsidRPr="008F4B1C">
                    <w:rPr>
                      <w:rFonts w:ascii="Calibri" w:hAnsi="Calibri"/>
                      <w:sz w:val="18"/>
                      <w:szCs w:val="18"/>
                      <w:vertAlign w:val="superscript"/>
                    </w:rPr>
                    <w:t>hi</w:t>
                  </w:r>
                  <w:r w:rsidRPr="008F4B1C">
                    <w:rPr>
                      <w:rFonts w:ascii="Calibri" w:hAnsi="Calibri"/>
                      <w:sz w:val="18"/>
                      <w:szCs w:val="18"/>
                    </w:rPr>
                    <w:t xml:space="preserve">CD11b-CD19-MHCII-).  </w:t>
                  </w:r>
                  <w:r>
                    <w:rPr>
                      <w:rFonts w:ascii="Calibri" w:hAnsi="Calibri"/>
                      <w:sz w:val="18"/>
                      <w:szCs w:val="18"/>
                    </w:rPr>
                    <w:t>(</w:t>
                  </w:r>
                  <w:r w:rsidRPr="00EC6555">
                    <w:rPr>
                      <w:rFonts w:ascii="Calibri" w:hAnsi="Calibri"/>
                      <w:b/>
                      <w:sz w:val="18"/>
                      <w:szCs w:val="18"/>
                    </w:rPr>
                    <w:t>C</w:t>
                  </w:r>
                  <w:r w:rsidRPr="008F4B1C">
                    <w:rPr>
                      <w:rFonts w:ascii="Calibri" w:hAnsi="Calibri"/>
                      <w:sz w:val="18"/>
                      <w:szCs w:val="18"/>
                    </w:rPr>
                    <w:t>) T cells from (B) were then gated on CD3 expression to confirm T cell identity and that the majority of CD45</w:t>
                  </w:r>
                  <w:r w:rsidRPr="008F4B1C">
                    <w:rPr>
                      <w:rFonts w:ascii="Calibri" w:hAnsi="Calibri"/>
                      <w:sz w:val="18"/>
                      <w:szCs w:val="18"/>
                      <w:vertAlign w:val="superscript"/>
                    </w:rPr>
                    <w:t>hi</w:t>
                  </w:r>
                  <w:r w:rsidRPr="008F4B1C">
                    <w:rPr>
                      <w:rFonts w:ascii="Calibri" w:hAnsi="Calibri"/>
                      <w:sz w:val="18"/>
                      <w:szCs w:val="18"/>
                    </w:rPr>
                    <w:t>CD11b- cells are indeed lymphocytes (B cells or T cells).</w:t>
                  </w:r>
                </w:p>
                <w:p w:rsidR="00470D4E" w:rsidRDefault="00470D4E" w:rsidP="00470D4E"/>
              </w:txbxContent>
            </v:textbox>
            <w10:wrap anchorx="margin" anchory="margin"/>
          </v:shape>
        </w:pict>
      </w:r>
    </w:p>
    <w:p w:rsidR="00470D4E" w:rsidRDefault="00470D4E" w:rsidP="00470D4E">
      <w:pPr>
        <w:spacing w:line="200" w:lineRule="atLeast"/>
        <w:jc w:val="both"/>
        <w:rPr>
          <w:rFonts w:ascii="Calibri" w:hAnsi="Calibri"/>
          <w:sz w:val="18"/>
          <w:szCs w:val="18"/>
        </w:rPr>
      </w:pPr>
    </w:p>
    <w:p w:rsidR="00470D4E" w:rsidRDefault="00470D4E" w:rsidP="00470D4E">
      <w:pPr>
        <w:autoSpaceDE w:val="0"/>
        <w:autoSpaceDN w:val="0"/>
        <w:adjustRightInd w:val="0"/>
        <w:spacing w:line="200" w:lineRule="atLeast"/>
        <w:jc w:val="both"/>
        <w:rPr>
          <w:rFonts w:asciiTheme="minorHAnsi" w:hAnsiTheme="minorHAnsi"/>
          <w:b/>
          <w:bCs/>
          <w:sz w:val="22"/>
          <w:szCs w:val="22"/>
          <w:lang w:val="en-GB"/>
        </w:rPr>
      </w:pPr>
    </w:p>
    <w:p w:rsidR="00470D4E" w:rsidRDefault="00470D4E" w:rsidP="00470D4E">
      <w:pPr>
        <w:autoSpaceDE w:val="0"/>
        <w:autoSpaceDN w:val="0"/>
        <w:adjustRightInd w:val="0"/>
        <w:spacing w:line="200" w:lineRule="atLeast"/>
        <w:jc w:val="both"/>
        <w:rPr>
          <w:rFonts w:asciiTheme="minorHAnsi" w:hAnsiTheme="minorHAnsi"/>
          <w:b/>
          <w:bCs/>
          <w:sz w:val="22"/>
          <w:szCs w:val="22"/>
          <w:lang w:val="en-GB"/>
        </w:rPr>
      </w:pPr>
    </w:p>
    <w:p w:rsidR="00470D4E" w:rsidRDefault="00470D4E" w:rsidP="00470D4E">
      <w:pPr>
        <w:autoSpaceDE w:val="0"/>
        <w:autoSpaceDN w:val="0"/>
        <w:adjustRightInd w:val="0"/>
        <w:spacing w:line="200" w:lineRule="atLeast"/>
        <w:jc w:val="both"/>
        <w:rPr>
          <w:sz w:val="21"/>
        </w:rPr>
      </w:pPr>
    </w:p>
    <w:p w:rsidR="00470D4E" w:rsidRPr="00993130" w:rsidRDefault="00470D4E" w:rsidP="00470D4E">
      <w:pPr>
        <w:autoSpaceDE w:val="0"/>
        <w:autoSpaceDN w:val="0"/>
        <w:adjustRightInd w:val="0"/>
        <w:spacing w:line="200" w:lineRule="atLeast"/>
        <w:jc w:val="both"/>
        <w:rPr>
          <w:sz w:val="21"/>
        </w:rPr>
      </w:pPr>
    </w:p>
    <w:p w:rsidR="00470D4E" w:rsidRDefault="00470D4E" w:rsidP="00470D4E">
      <w:pPr>
        <w:pStyle w:val="Normal1"/>
        <w:spacing w:after="0" w:line="200" w:lineRule="atLeast"/>
        <w:contextualSpacing/>
        <w:jc w:val="both"/>
        <w:rPr>
          <w:rFonts w:ascii="Calibri" w:hAnsi="Calibri"/>
          <w:color w:val="auto"/>
          <w:sz w:val="18"/>
          <w:szCs w:val="18"/>
        </w:rPr>
      </w:pPr>
    </w:p>
    <w:p w:rsidR="00470D4E" w:rsidRDefault="00470D4E" w:rsidP="00470D4E">
      <w:pPr>
        <w:pStyle w:val="Normal1"/>
        <w:spacing w:after="0" w:line="200" w:lineRule="atLeast"/>
        <w:contextualSpacing/>
        <w:jc w:val="both"/>
        <w:rPr>
          <w:rFonts w:ascii="Calibri" w:hAnsi="Calibri"/>
          <w:color w:val="auto"/>
          <w:sz w:val="18"/>
          <w:szCs w:val="18"/>
        </w:rPr>
      </w:pPr>
    </w:p>
    <w:p w:rsidR="00470D4E" w:rsidRDefault="00470D4E" w:rsidP="00470D4E">
      <w:pPr>
        <w:pStyle w:val="Normal1"/>
        <w:spacing w:after="0" w:line="200" w:lineRule="atLeast"/>
        <w:contextualSpacing/>
        <w:jc w:val="both"/>
        <w:rPr>
          <w:rFonts w:ascii="Calibri" w:hAnsi="Calibri"/>
          <w:color w:val="auto"/>
          <w:sz w:val="18"/>
          <w:szCs w:val="18"/>
        </w:rPr>
      </w:pPr>
    </w:p>
    <w:p w:rsidR="00470D4E" w:rsidRDefault="00470D4E" w:rsidP="00470D4E">
      <w:pPr>
        <w:pStyle w:val="Normal1"/>
        <w:spacing w:after="0" w:line="200" w:lineRule="atLeast"/>
        <w:contextualSpacing/>
        <w:jc w:val="both"/>
        <w:rPr>
          <w:rFonts w:ascii="Calibri" w:hAnsi="Calibri"/>
          <w:color w:val="auto"/>
          <w:sz w:val="18"/>
          <w:szCs w:val="18"/>
        </w:rPr>
      </w:pPr>
    </w:p>
    <w:p w:rsidR="00470D4E" w:rsidRDefault="00470D4E" w:rsidP="00470D4E">
      <w:pPr>
        <w:pStyle w:val="Normal1"/>
        <w:spacing w:after="0" w:line="200" w:lineRule="atLeast"/>
        <w:contextualSpacing/>
        <w:jc w:val="both"/>
        <w:rPr>
          <w:rFonts w:ascii="Calibri" w:hAnsi="Calibri"/>
          <w:color w:val="auto"/>
          <w:sz w:val="18"/>
          <w:szCs w:val="18"/>
        </w:rPr>
      </w:pPr>
    </w:p>
    <w:p w:rsidR="00470D4E" w:rsidRDefault="00470D4E" w:rsidP="00470D4E">
      <w:pPr>
        <w:pStyle w:val="Normal1"/>
        <w:spacing w:after="0" w:line="200" w:lineRule="atLeast"/>
        <w:contextualSpacing/>
        <w:jc w:val="both"/>
        <w:rPr>
          <w:rFonts w:ascii="Calibri" w:hAnsi="Calibri"/>
          <w:color w:val="auto"/>
          <w:sz w:val="18"/>
          <w:szCs w:val="18"/>
        </w:rPr>
      </w:pPr>
    </w:p>
    <w:p w:rsidR="00470D4E" w:rsidRPr="0083028D" w:rsidRDefault="00470D4E" w:rsidP="00470D4E">
      <w:pPr>
        <w:pStyle w:val="ListParagraph"/>
        <w:spacing w:line="200" w:lineRule="atLeast"/>
        <w:ind w:left="0"/>
        <w:contextualSpacing/>
        <w:jc w:val="both"/>
        <w:rPr>
          <w:rFonts w:ascii="Calibri" w:hAnsi="Calibri"/>
          <w:sz w:val="18"/>
          <w:szCs w:val="18"/>
        </w:rPr>
      </w:pPr>
      <w:r w:rsidRPr="00116CBC">
        <w:rPr>
          <w:b/>
          <w:bCs/>
          <w:color w:val="0000FF"/>
          <w:sz w:val="23"/>
          <w:szCs w:val="23"/>
        </w:rPr>
        <w:t>REFERENCES</w:t>
      </w:r>
    </w:p>
    <w:p w:rsidR="00470D4E" w:rsidRDefault="00470D4E" w:rsidP="00470D4E">
      <w:pPr>
        <w:pStyle w:val="Normal1"/>
        <w:spacing w:after="0" w:line="200" w:lineRule="atLeast"/>
        <w:contextualSpacing/>
        <w:jc w:val="both"/>
        <w:rPr>
          <w:rFonts w:ascii="Calibri" w:hAnsi="Calibri"/>
          <w:color w:val="auto"/>
          <w:sz w:val="18"/>
          <w:szCs w:val="18"/>
        </w:rPr>
      </w:pPr>
    </w:p>
    <w:p w:rsidR="00470D4E" w:rsidRDefault="00470D4E" w:rsidP="00470D4E">
      <w:pPr>
        <w:pStyle w:val="ListParagraph"/>
        <w:spacing w:line="200" w:lineRule="atLeast"/>
        <w:ind w:left="0"/>
        <w:contextualSpacing/>
        <w:jc w:val="both"/>
        <w:rPr>
          <w:rFonts w:ascii="Calibri" w:hAnsi="Calibri"/>
          <w:color w:val="000000"/>
          <w:sz w:val="18"/>
          <w:szCs w:val="18"/>
        </w:rPr>
      </w:pPr>
      <w:r>
        <w:rPr>
          <w:rFonts w:ascii="Calibri" w:hAnsi="Calibri"/>
          <w:b/>
          <w:color w:val="000000"/>
          <w:sz w:val="18"/>
          <w:szCs w:val="18"/>
        </w:rPr>
        <w:t>1</w:t>
      </w:r>
      <w:r w:rsidRPr="00975AD6">
        <w:rPr>
          <w:rFonts w:ascii="Calibri" w:hAnsi="Calibri"/>
          <w:b/>
          <w:color w:val="000000"/>
          <w:sz w:val="18"/>
          <w:szCs w:val="18"/>
        </w:rPr>
        <w:t>.</w:t>
      </w:r>
      <w:r>
        <w:rPr>
          <w:rFonts w:ascii="Calibri" w:hAnsi="Calibri"/>
          <w:color w:val="000000"/>
          <w:sz w:val="18"/>
          <w:szCs w:val="18"/>
        </w:rPr>
        <w:t xml:space="preserve"> </w:t>
      </w:r>
      <w:r w:rsidRPr="00C55DC4">
        <w:rPr>
          <w:rFonts w:ascii="Calibri" w:hAnsi="Calibri"/>
          <w:color w:val="000000"/>
          <w:sz w:val="18"/>
          <w:szCs w:val="18"/>
        </w:rPr>
        <w:t xml:space="preserve">McCullough L, Wu L, </w:t>
      </w:r>
      <w:proofErr w:type="spellStart"/>
      <w:r w:rsidRPr="00C55DC4">
        <w:rPr>
          <w:rFonts w:ascii="Calibri" w:hAnsi="Calibri"/>
          <w:color w:val="000000"/>
          <w:sz w:val="18"/>
          <w:szCs w:val="18"/>
        </w:rPr>
        <w:t>Haughey</w:t>
      </w:r>
      <w:proofErr w:type="spellEnd"/>
      <w:r w:rsidRPr="00C55DC4">
        <w:rPr>
          <w:rFonts w:ascii="Calibri" w:hAnsi="Calibri"/>
          <w:color w:val="000000"/>
          <w:sz w:val="18"/>
          <w:szCs w:val="18"/>
        </w:rPr>
        <w:t xml:space="preserve"> N, Liang X, Hand T, Wang Q, </w:t>
      </w:r>
      <w:proofErr w:type="spellStart"/>
      <w:r w:rsidRPr="00C55DC4">
        <w:rPr>
          <w:rFonts w:ascii="Calibri" w:hAnsi="Calibri"/>
          <w:color w:val="000000"/>
          <w:sz w:val="18"/>
          <w:szCs w:val="18"/>
        </w:rPr>
        <w:t>Breyer</w:t>
      </w:r>
      <w:proofErr w:type="spellEnd"/>
      <w:r w:rsidRPr="00C55DC4">
        <w:rPr>
          <w:rFonts w:ascii="Calibri" w:hAnsi="Calibri"/>
          <w:color w:val="000000"/>
          <w:sz w:val="18"/>
          <w:szCs w:val="18"/>
        </w:rPr>
        <w:t xml:space="preserve"> RM, </w:t>
      </w:r>
      <w:proofErr w:type="spellStart"/>
      <w:r w:rsidRPr="00C55DC4">
        <w:rPr>
          <w:rFonts w:ascii="Calibri" w:hAnsi="Calibri"/>
          <w:color w:val="000000"/>
          <w:sz w:val="18"/>
          <w:szCs w:val="18"/>
        </w:rPr>
        <w:t>Andreasson</w:t>
      </w:r>
      <w:proofErr w:type="spellEnd"/>
      <w:r w:rsidRPr="00C55DC4">
        <w:rPr>
          <w:rFonts w:ascii="Calibri" w:hAnsi="Calibri"/>
          <w:color w:val="000000"/>
          <w:sz w:val="18"/>
          <w:szCs w:val="18"/>
        </w:rPr>
        <w:t xml:space="preserve"> K. </w:t>
      </w:r>
      <w:proofErr w:type="spellStart"/>
      <w:r w:rsidRPr="00C55DC4">
        <w:rPr>
          <w:rFonts w:ascii="Calibri" w:hAnsi="Calibri"/>
          <w:color w:val="000000"/>
          <w:sz w:val="18"/>
          <w:szCs w:val="18"/>
        </w:rPr>
        <w:t>Neuroprotective</w:t>
      </w:r>
      <w:proofErr w:type="spellEnd"/>
      <w:r w:rsidRPr="00C55DC4">
        <w:rPr>
          <w:rFonts w:ascii="Calibri" w:hAnsi="Calibri"/>
          <w:color w:val="000000"/>
          <w:sz w:val="18"/>
          <w:szCs w:val="18"/>
        </w:rPr>
        <w:t xml:space="preserve"> function of the PGE2 EP2 receptor in cerebral ischemia. </w:t>
      </w:r>
      <w:proofErr w:type="gramStart"/>
      <w:r w:rsidRPr="00C55DC4">
        <w:rPr>
          <w:rFonts w:ascii="Calibri" w:hAnsi="Calibri"/>
          <w:color w:val="000000"/>
          <w:sz w:val="18"/>
          <w:szCs w:val="18"/>
        </w:rPr>
        <w:t xml:space="preserve">J </w:t>
      </w:r>
      <w:proofErr w:type="spellStart"/>
      <w:r w:rsidRPr="00C55DC4">
        <w:rPr>
          <w:rFonts w:ascii="Calibri" w:hAnsi="Calibri"/>
          <w:color w:val="000000"/>
          <w:sz w:val="18"/>
          <w:szCs w:val="18"/>
        </w:rPr>
        <w:t>Neurosci</w:t>
      </w:r>
      <w:proofErr w:type="spellEnd"/>
      <w:r w:rsidRPr="00C55DC4">
        <w:rPr>
          <w:rFonts w:ascii="Calibri" w:hAnsi="Calibri"/>
          <w:color w:val="000000"/>
          <w:sz w:val="18"/>
          <w:szCs w:val="18"/>
        </w:rPr>
        <w:t>.</w:t>
      </w:r>
      <w:proofErr w:type="gramEnd"/>
      <w:r w:rsidRPr="00C55DC4">
        <w:rPr>
          <w:rFonts w:ascii="Calibri" w:hAnsi="Calibri"/>
          <w:color w:val="000000"/>
          <w:sz w:val="18"/>
          <w:szCs w:val="18"/>
        </w:rPr>
        <w:t xml:space="preserve"> </w:t>
      </w:r>
      <w:proofErr w:type="gramStart"/>
      <w:r w:rsidRPr="00C55DC4">
        <w:rPr>
          <w:rFonts w:ascii="Calibri" w:hAnsi="Calibri"/>
          <w:color w:val="000000"/>
          <w:sz w:val="18"/>
          <w:szCs w:val="18"/>
        </w:rPr>
        <w:t>2004; 24:257-268.</w:t>
      </w:r>
      <w:proofErr w:type="gramEnd"/>
    </w:p>
    <w:p w:rsidR="00470D4E" w:rsidRPr="00A10965" w:rsidRDefault="00470D4E" w:rsidP="00470D4E">
      <w:pPr>
        <w:pStyle w:val="ListParagraph"/>
        <w:spacing w:line="200" w:lineRule="atLeast"/>
        <w:ind w:left="0"/>
        <w:contextualSpacing/>
        <w:jc w:val="both"/>
        <w:rPr>
          <w:rFonts w:ascii="Calibri" w:hAnsi="Calibri"/>
          <w:sz w:val="18"/>
          <w:szCs w:val="18"/>
        </w:rPr>
      </w:pPr>
      <w:r w:rsidRPr="006C715C">
        <w:rPr>
          <w:rFonts w:ascii="Calibri" w:hAnsi="Calibri"/>
          <w:b/>
          <w:noProof/>
          <w:color w:val="000000"/>
          <w:sz w:val="18"/>
          <w:szCs w:val="18"/>
        </w:rPr>
        <w:pict>
          <v:shape id="_x0000_s1034" type="#_x0000_t202" style="position:absolute;left:0;text-align:left;margin-left:0;margin-top:683.9pt;width:511.05pt;height:54pt;z-index:251668480;visibility:visible;mso-position-horizontal:center;mso-position-horizontal-relative:margin;mso-position-vertical-relative:margin" filled="f" stroked="f">
            <v:textbox inset="0,0,0,0">
              <w:txbxContent>
                <w:p w:rsidR="00470D4E" w:rsidRDefault="00470D4E" w:rsidP="00470D4E">
                  <w:pPr>
                    <w:pBdr>
                      <w:bottom w:val="single" w:sz="12" w:space="0" w:color="auto"/>
                    </w:pBdr>
                    <w:rPr>
                      <w:rFonts w:ascii="Calibri" w:hAnsi="Calibri" w:cs="Calibri"/>
                    </w:rPr>
                  </w:pPr>
                </w:p>
                <w:p w:rsidR="00470D4E" w:rsidRDefault="00470D4E" w:rsidP="00470D4E">
                  <w:pPr>
                    <w:spacing w:line="40" w:lineRule="exact"/>
                    <w:rPr>
                      <w:rFonts w:ascii="Calibri" w:hAnsi="Calibri" w:cs="Calibri"/>
                    </w:rPr>
                  </w:pPr>
                </w:p>
                <w:p w:rsidR="00470D4E" w:rsidRDefault="00470D4E" w:rsidP="00470D4E">
                  <w:pPr>
                    <w:rPr>
                      <w:rFonts w:ascii="Calibri" w:hAnsi="Calibri" w:cs="Calibri"/>
                      <w:sz w:val="20"/>
                      <w:szCs w:val="20"/>
                    </w:rPr>
                  </w:pPr>
                  <w:r>
                    <w:rPr>
                      <w:rFonts w:ascii="Calibri" w:hAnsi="Calibri" w:cs="Calibri"/>
                      <w:sz w:val="20"/>
                      <w:szCs w:val="20"/>
                    </w:rPr>
                    <w:t>www.impactaging.com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 xml:space="preserve">3                                           AGING, </w:t>
                  </w:r>
                  <w:r>
                    <w:rPr>
                      <w:rFonts w:ascii="Calibri" w:hAnsi="Calibri" w:cs="Calibri"/>
                      <w:sz w:val="20"/>
                      <w:szCs w:val="20"/>
                    </w:rPr>
                    <w:t>May 2016, Vol. 8 No.5</w:t>
                  </w:r>
                </w:p>
              </w:txbxContent>
            </v:textbox>
            <w10:wrap anchorx="margin" anchory="margin"/>
          </v:shape>
        </w:pict>
      </w:r>
      <w:r>
        <w:rPr>
          <w:rFonts w:ascii="Calibri" w:hAnsi="Calibri"/>
          <w:b/>
          <w:color w:val="000000"/>
          <w:sz w:val="18"/>
          <w:szCs w:val="18"/>
        </w:rPr>
        <w:t>2</w:t>
      </w:r>
      <w:r w:rsidRPr="00975AD6">
        <w:rPr>
          <w:rFonts w:ascii="Calibri" w:hAnsi="Calibri"/>
          <w:b/>
          <w:color w:val="000000"/>
          <w:sz w:val="18"/>
          <w:szCs w:val="18"/>
        </w:rPr>
        <w:t>.</w:t>
      </w:r>
      <w:r>
        <w:rPr>
          <w:rFonts w:ascii="Calibri" w:hAnsi="Calibri"/>
          <w:color w:val="000000"/>
          <w:sz w:val="18"/>
          <w:szCs w:val="18"/>
        </w:rPr>
        <w:t xml:space="preserve"> </w:t>
      </w:r>
      <w:proofErr w:type="spellStart"/>
      <w:r w:rsidRPr="00C55DC4">
        <w:rPr>
          <w:rFonts w:ascii="Calibri" w:hAnsi="Calibri"/>
          <w:color w:val="000000"/>
          <w:sz w:val="18"/>
          <w:szCs w:val="18"/>
        </w:rPr>
        <w:t>Ritzel</w:t>
      </w:r>
      <w:proofErr w:type="spellEnd"/>
      <w:r w:rsidRPr="00C55DC4">
        <w:rPr>
          <w:rFonts w:ascii="Calibri" w:hAnsi="Calibri"/>
          <w:color w:val="000000"/>
          <w:sz w:val="18"/>
          <w:szCs w:val="18"/>
        </w:rPr>
        <w:t xml:space="preserve"> RM, Patel AR, </w:t>
      </w:r>
      <w:proofErr w:type="spellStart"/>
      <w:r w:rsidRPr="00C55DC4">
        <w:rPr>
          <w:rFonts w:ascii="Calibri" w:hAnsi="Calibri"/>
          <w:color w:val="000000"/>
          <w:sz w:val="18"/>
          <w:szCs w:val="18"/>
        </w:rPr>
        <w:t>Grenier</w:t>
      </w:r>
      <w:proofErr w:type="spellEnd"/>
      <w:r w:rsidRPr="00C55DC4">
        <w:rPr>
          <w:rFonts w:ascii="Calibri" w:hAnsi="Calibri"/>
          <w:color w:val="000000"/>
          <w:sz w:val="18"/>
          <w:szCs w:val="18"/>
        </w:rPr>
        <w:t xml:space="preserve"> JM, </w:t>
      </w:r>
      <w:proofErr w:type="spellStart"/>
      <w:r w:rsidRPr="00C55DC4">
        <w:rPr>
          <w:rFonts w:ascii="Calibri" w:hAnsi="Calibri"/>
          <w:color w:val="000000"/>
          <w:sz w:val="18"/>
          <w:szCs w:val="18"/>
        </w:rPr>
        <w:t>Crapser</w:t>
      </w:r>
      <w:proofErr w:type="spellEnd"/>
      <w:r w:rsidRPr="00C55DC4">
        <w:rPr>
          <w:rFonts w:ascii="Calibri" w:hAnsi="Calibri"/>
          <w:color w:val="000000"/>
          <w:sz w:val="18"/>
          <w:szCs w:val="18"/>
        </w:rPr>
        <w:t xml:space="preserve"> J, </w:t>
      </w:r>
      <w:proofErr w:type="spellStart"/>
      <w:r w:rsidRPr="00C55DC4">
        <w:rPr>
          <w:rFonts w:ascii="Calibri" w:hAnsi="Calibri"/>
          <w:color w:val="000000"/>
          <w:sz w:val="18"/>
          <w:szCs w:val="18"/>
        </w:rPr>
        <w:t>Verma</w:t>
      </w:r>
      <w:proofErr w:type="spellEnd"/>
      <w:r w:rsidRPr="00C55DC4">
        <w:rPr>
          <w:rFonts w:ascii="Calibri" w:hAnsi="Calibri"/>
          <w:color w:val="000000"/>
          <w:sz w:val="18"/>
          <w:szCs w:val="18"/>
        </w:rPr>
        <w:t xml:space="preserve"> R, </w:t>
      </w:r>
      <w:proofErr w:type="spellStart"/>
      <w:r w:rsidRPr="00C55DC4">
        <w:rPr>
          <w:rFonts w:ascii="Calibri" w:hAnsi="Calibri"/>
          <w:color w:val="000000"/>
          <w:sz w:val="18"/>
          <w:szCs w:val="18"/>
        </w:rPr>
        <w:t>Jellison</w:t>
      </w:r>
      <w:proofErr w:type="spellEnd"/>
      <w:r w:rsidRPr="00C55DC4">
        <w:rPr>
          <w:rFonts w:ascii="Calibri" w:hAnsi="Calibri"/>
          <w:color w:val="000000"/>
          <w:sz w:val="18"/>
          <w:szCs w:val="18"/>
        </w:rPr>
        <w:t xml:space="preserve"> ER, McCullough LD. Functional differences between microglia and </w:t>
      </w:r>
      <w:proofErr w:type="spellStart"/>
      <w:r w:rsidRPr="00C55DC4">
        <w:rPr>
          <w:rFonts w:ascii="Calibri" w:hAnsi="Calibri"/>
          <w:color w:val="000000"/>
          <w:sz w:val="18"/>
          <w:szCs w:val="18"/>
        </w:rPr>
        <w:t>monocytes</w:t>
      </w:r>
      <w:proofErr w:type="spellEnd"/>
      <w:r w:rsidRPr="00C55DC4">
        <w:rPr>
          <w:rFonts w:ascii="Calibri" w:hAnsi="Calibri"/>
          <w:color w:val="000000"/>
          <w:sz w:val="18"/>
          <w:szCs w:val="18"/>
        </w:rPr>
        <w:t xml:space="preserve"> after ischemic stroke. </w:t>
      </w:r>
      <w:proofErr w:type="gramStart"/>
      <w:r w:rsidRPr="00C55DC4">
        <w:rPr>
          <w:rFonts w:ascii="Calibri" w:hAnsi="Calibri"/>
          <w:color w:val="000000"/>
          <w:sz w:val="18"/>
          <w:szCs w:val="18"/>
        </w:rPr>
        <w:t xml:space="preserve">J </w:t>
      </w:r>
      <w:proofErr w:type="spellStart"/>
      <w:r w:rsidRPr="00C55DC4">
        <w:rPr>
          <w:rFonts w:ascii="Calibri" w:hAnsi="Calibri"/>
          <w:color w:val="000000"/>
          <w:sz w:val="18"/>
          <w:szCs w:val="18"/>
        </w:rPr>
        <w:t>Neuroinflammation</w:t>
      </w:r>
      <w:proofErr w:type="spellEnd"/>
      <w:r w:rsidRPr="00C55DC4">
        <w:rPr>
          <w:rFonts w:ascii="Calibri" w:hAnsi="Calibri"/>
          <w:color w:val="000000"/>
          <w:sz w:val="18"/>
          <w:szCs w:val="18"/>
        </w:rPr>
        <w:t>.</w:t>
      </w:r>
      <w:proofErr w:type="gramEnd"/>
      <w:r w:rsidRPr="00C55DC4">
        <w:rPr>
          <w:rFonts w:ascii="Calibri" w:hAnsi="Calibri"/>
          <w:color w:val="000000"/>
          <w:sz w:val="18"/>
          <w:szCs w:val="18"/>
        </w:rPr>
        <w:t xml:space="preserve"> 2015; 12:106-015-0329-1.  </w:t>
      </w:r>
    </w:p>
    <w:p w:rsidR="00B05359" w:rsidRDefault="00DC3FC8"/>
    <w:sectPr w:rsidR="00B05359" w:rsidSect="0041611D">
      <w:pgSz w:w="12240" w:h="15840"/>
      <w:pgMar w:top="1008" w:right="1008" w:bottom="1417" w:left="1008" w:header="708" w:footer="708" w:gutter="0"/>
      <w:cols w:num="2" w:space="708" w:equalWidth="0">
        <w:col w:w="4752" w:space="720"/>
        <w:col w:w="4752"/>
      </w:cols>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70D4E"/>
    <w:rsid w:val="00470D4E"/>
    <w:rsid w:val="00521856"/>
    <w:rsid w:val="00695807"/>
    <w:rsid w:val="007F38DD"/>
    <w:rsid w:val="00820A8F"/>
    <w:rsid w:val="00B50715"/>
    <w:rsid w:val="00DC3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D4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D4E"/>
    <w:pPr>
      <w:ind w:left="720"/>
    </w:pPr>
  </w:style>
  <w:style w:type="character" w:customStyle="1" w:styleId="apple-converted-space">
    <w:name w:val="apple-converted-space"/>
    <w:rsid w:val="00470D4E"/>
  </w:style>
  <w:style w:type="paragraph" w:customStyle="1" w:styleId="Normal1">
    <w:name w:val="Normal1"/>
    <w:rsid w:val="00470D4E"/>
    <w:rPr>
      <w:rFonts w:ascii="Times New Roman" w:eastAsia="Times New Roman" w:hAnsi="Times New Roman" w:cs="Times New Roman"/>
      <w:color w:val="000000"/>
      <w:szCs w:val="24"/>
      <w:lang w:eastAsia="it-IT"/>
    </w:rPr>
  </w:style>
  <w:style w:type="paragraph" w:styleId="BalloonText">
    <w:name w:val="Balloon Text"/>
    <w:basedOn w:val="Normal"/>
    <w:link w:val="BalloonTextChar"/>
    <w:uiPriority w:val="99"/>
    <w:semiHidden/>
    <w:unhideWhenUsed/>
    <w:rsid w:val="00470D4E"/>
    <w:rPr>
      <w:rFonts w:ascii="Tahoma" w:hAnsi="Tahoma" w:cs="Tahoma"/>
      <w:sz w:val="16"/>
      <w:szCs w:val="16"/>
    </w:rPr>
  </w:style>
  <w:style w:type="character" w:customStyle="1" w:styleId="BalloonTextChar">
    <w:name w:val="Balloon Text Char"/>
    <w:basedOn w:val="DefaultParagraphFont"/>
    <w:link w:val="BalloonText"/>
    <w:uiPriority w:val="99"/>
    <w:semiHidden/>
    <w:rsid w:val="00470D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616</Words>
  <Characters>3515</Characters>
  <Application>Microsoft Office Word</Application>
  <DocSecurity>0</DocSecurity>
  <Lines>29</Lines>
  <Paragraphs>8</Paragraphs>
  <ScaleCrop>false</ScaleCrop>
  <Company/>
  <LinksUpToDate>false</LinksUpToDate>
  <CharactersWithSpaces>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Krasnova</dc:creator>
  <cp:lastModifiedBy>Olga Krasnova</cp:lastModifiedBy>
  <cp:revision>1</cp:revision>
  <dcterms:created xsi:type="dcterms:W3CDTF">2016-04-25T23:46:00Z</dcterms:created>
  <dcterms:modified xsi:type="dcterms:W3CDTF">2016-04-25T23:47:00Z</dcterms:modified>
</cp:coreProperties>
</file>